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13991" w14:textId="2A144CA6" w:rsidR="00A73F27" w:rsidRDefault="008016DF">
      <w:pPr>
        <w:rPr>
          <w:b/>
          <w:bCs/>
        </w:rPr>
      </w:pPr>
      <w:r w:rsidRPr="008016DF">
        <w:rPr>
          <w:b/>
          <w:bCs/>
          <w:noProof/>
        </w:rPr>
        <mc:AlternateContent>
          <mc:Choice Requires="wps">
            <w:drawing>
              <wp:anchor distT="45720" distB="45720" distL="114300" distR="114300" simplePos="0" relativeHeight="251660288" behindDoc="0" locked="0" layoutInCell="1" allowOverlap="1" wp14:anchorId="18E2466F" wp14:editId="67CD364C">
                <wp:simplePos x="0" y="0"/>
                <wp:positionH relativeFrom="margin">
                  <wp:align>right</wp:align>
                </wp:positionH>
                <wp:positionV relativeFrom="paragraph">
                  <wp:posOffset>958990</wp:posOffset>
                </wp:positionV>
                <wp:extent cx="20669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1404620"/>
                        </a:xfrm>
                        <a:prstGeom prst="rect">
                          <a:avLst/>
                        </a:prstGeom>
                        <a:solidFill>
                          <a:srgbClr val="FFFFFF"/>
                        </a:solidFill>
                        <a:ln w="9525">
                          <a:noFill/>
                          <a:miter lim="800000"/>
                          <a:headEnd/>
                          <a:tailEnd/>
                        </a:ln>
                      </wps:spPr>
                      <wps:txbx>
                        <w:txbxContent>
                          <w:p w14:paraId="0FA4A0B6" w14:textId="1087E395" w:rsidR="008016DF" w:rsidRPr="008016DF" w:rsidRDefault="008016DF" w:rsidP="008016DF">
                            <w:pPr>
                              <w:pStyle w:val="Titel"/>
                              <w:jc w:val="right"/>
                              <w:rPr>
                                <w:b/>
                                <w:bCs/>
                                <w:color w:val="3A2A7F"/>
                                <w:sz w:val="40"/>
                                <w:szCs w:val="40"/>
                              </w:rPr>
                            </w:pPr>
                            <w:r w:rsidRPr="008016DF">
                              <w:rPr>
                                <w:b/>
                                <w:bCs/>
                                <w:color w:val="3A2A7F"/>
                                <w:sz w:val="40"/>
                                <w:szCs w:val="40"/>
                              </w:rPr>
                              <w:t>PRESS RELEASE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E2466F" id="_x0000_t202" coordsize="21600,21600" o:spt="202" path="m,l,21600r21600,l21600,xe">
                <v:stroke joinstyle="miter"/>
                <v:path gradientshapeok="t" o:connecttype="rect"/>
              </v:shapetype>
              <v:shape id="Text Box 2" o:spid="_x0000_s1026" type="#_x0000_t202" style="position:absolute;margin-left:111.55pt;margin-top:75.5pt;width:162.7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B5iDgIAAPcDAAAOAAAAZHJzL2Uyb0RvYy54bWysU8Fu2zAMvQ/YPwi6L3aCJGuMOEWXLsOA&#10;rhvQ7QNkWY6FyaJGKbGzrx8lp2nQ3YbpIIgi+UQ+Pq1vh86wo0KvwZZ8Osk5U1ZCre2+5D++797d&#10;cOaDsLUwYFXJT8rz283bN+veFWoGLZhaISMQ64velbwNwRVZ5mWrOuEn4JQlZwPYiUAm7rMaRU/o&#10;nclmeb7MesDaIUjlPd3ej06+SfhNo2T42jReBWZKTrWFtGPaq7hnm7Uo9ihcq+W5DPEPVXRCW3r0&#10;AnUvgmAH1H9BdVoieGjCREKXQdNoqVIP1M00f9XNUyucSr0QOd5daPL/D1Y+Hp/cN2Rh+AADDTA1&#10;4d0DyJ+eWdi2wu7VHSL0rRI1PTyNlGW988U5NVLtCx9Bqv4L1DRkcQiQgIYGu8gK9ckInQZwupCu&#10;hsAkXc7y5XI1W3AmyTed5/PlLI0lE8VzukMfPinoWDyUHGmqCV4cH3yI5YjiOSS+5sHoeqeNSQbu&#10;q61BdhSkgF1aqYNXYcayvuSrBRUSsyzE/CSOTgdSqNFdyW/yuEbNRDo+2jqFBKHNeKZKjD3zEykZ&#10;yQlDNVBg5KmC+kRMIYxKpJ9DhxbwN2c9qbDk/tdBoOLMfLbE9mo6n0fZJmO+eE/UMLz2VNceYSVB&#10;lTxwNh63IUk98eDuaCo7nfh6qeRcK6kr0Xj+CVG+13aKevmvmz8AAAD//wMAUEsDBBQABgAIAAAA&#10;IQBotow73AAAAAgBAAAPAAAAZHJzL2Rvd25yZXYueG1sTI9BT8MwDIXvSPyHyEjcWLqiAipNp4mJ&#10;CwckNiQ4Zo3bVCROlWRd+feYE9ye/azn7zWbxTsxY0xjIAXrVQECqQtmpEHB++H55gFEypqMdoFQ&#10;wTcm2LSXF42uTTjTG877PAgOoVRrBTbnqZYydRa9TqswIbHXh+h15jEO0kR95nDvZFkUd9LrkfiD&#10;1RM+Wey+9iev4MPb0ezi62dv3Lx76bfVtMRJqeurZfsIIuOS/47hF5/RoWWmYziRScIp4CKZt9Wa&#10;Bdu3ZVWBOLK4L0uQbSP/F2h/AAAA//8DAFBLAQItABQABgAIAAAAIQC2gziS/gAAAOEBAAATAAAA&#10;AAAAAAAAAAAAAAAAAABbQ29udGVudF9UeXBlc10ueG1sUEsBAi0AFAAGAAgAAAAhADj9If/WAAAA&#10;lAEAAAsAAAAAAAAAAAAAAAAALwEAAF9yZWxzLy5yZWxzUEsBAi0AFAAGAAgAAAAhALk0HmIOAgAA&#10;9wMAAA4AAAAAAAAAAAAAAAAALgIAAGRycy9lMm9Eb2MueG1sUEsBAi0AFAAGAAgAAAAhAGi2jDvc&#10;AAAACAEAAA8AAAAAAAAAAAAAAAAAaAQAAGRycy9kb3ducmV2LnhtbFBLBQYAAAAABAAEAPMAAABx&#10;BQAAAAA=&#10;" stroked="f">
                <v:textbox style="mso-fit-shape-to-text:t">
                  <w:txbxContent>
                    <w:p w14:paraId="0FA4A0B6" w14:textId="1087E395" w:rsidR="008016DF" w:rsidRPr="008016DF" w:rsidRDefault="008016DF" w:rsidP="008016DF">
                      <w:pPr>
                        <w:pStyle w:val="Titel"/>
                        <w:jc w:val="right"/>
                        <w:rPr>
                          <w:b/>
                          <w:bCs/>
                          <w:color w:val="3A2A7F"/>
                          <w:sz w:val="40"/>
                          <w:szCs w:val="40"/>
                        </w:rPr>
                      </w:pPr>
                      <w:r w:rsidRPr="008016DF">
                        <w:rPr>
                          <w:b/>
                          <w:bCs/>
                          <w:color w:val="3A2A7F"/>
                          <w:sz w:val="40"/>
                          <w:szCs w:val="40"/>
                        </w:rPr>
                        <w:t>PRESS RELEASE</w:t>
                      </w:r>
                    </w:p>
                  </w:txbxContent>
                </v:textbox>
                <w10:wrap type="square" anchorx="margin"/>
              </v:shape>
            </w:pict>
          </mc:Fallback>
        </mc:AlternateContent>
      </w:r>
      <w:r w:rsidRPr="00A73F27">
        <w:rPr>
          <w:b/>
          <w:bCs/>
          <w:noProof/>
        </w:rPr>
        <w:drawing>
          <wp:anchor distT="0" distB="0" distL="114300" distR="114300" simplePos="0" relativeHeight="251658240" behindDoc="0" locked="0" layoutInCell="1" allowOverlap="1" wp14:anchorId="6A38E120" wp14:editId="26701C46">
            <wp:simplePos x="0" y="0"/>
            <wp:positionH relativeFrom="margin">
              <wp:posOffset>-267782</wp:posOffset>
            </wp:positionH>
            <wp:positionV relativeFrom="paragraph">
              <wp:posOffset>545</wp:posOffset>
            </wp:positionV>
            <wp:extent cx="2169160" cy="1689100"/>
            <wp:effectExtent l="0" t="0" r="2540" b="6350"/>
            <wp:wrapTopAndBottom/>
            <wp:docPr id="1219531408"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31408"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169160" cy="1689100"/>
                    </a:xfrm>
                    <a:prstGeom prst="rect">
                      <a:avLst/>
                    </a:prstGeom>
                  </pic:spPr>
                </pic:pic>
              </a:graphicData>
            </a:graphic>
          </wp:anchor>
        </w:drawing>
      </w:r>
    </w:p>
    <w:p w14:paraId="51E9D903" w14:textId="14B64BE8" w:rsidR="00A73F27" w:rsidRPr="00DB3278" w:rsidRDefault="005B4096" w:rsidP="58D6BEEC">
      <w:pPr>
        <w:pStyle w:val="Titel"/>
        <w:rPr>
          <w:b/>
          <w:bCs/>
          <w:sz w:val="48"/>
          <w:szCs w:val="48"/>
        </w:rPr>
      </w:pPr>
      <w:r w:rsidRPr="005B4096">
        <w:rPr>
          <w:b/>
          <w:bCs/>
          <w:sz w:val="48"/>
          <w:szCs w:val="48"/>
        </w:rPr>
        <w:t>Tour d'Europe bestätigt erhebliche Treibhausgasreduzierungen durch die Verwendung erneuerbarer Kraftstoffe</w:t>
      </w:r>
    </w:p>
    <w:p w14:paraId="329FB94F" w14:textId="1696B89B" w:rsidR="00F93B2E" w:rsidRPr="00E96464" w:rsidRDefault="00F93B2E" w:rsidP="00C92101">
      <w:pPr>
        <w:spacing w:line="240" w:lineRule="auto"/>
        <w:jc w:val="both"/>
        <w:rPr>
          <w:b/>
          <w:bCs/>
          <w:sz w:val="22"/>
          <w:szCs w:val="22"/>
        </w:rPr>
      </w:pPr>
      <w:bookmarkStart w:id="0" w:name="_Hlk201267032"/>
      <w:r w:rsidRPr="00F93B2E">
        <w:rPr>
          <w:b/>
          <w:bCs/>
          <w:sz w:val="22"/>
          <w:szCs w:val="22"/>
        </w:rPr>
        <w:t xml:space="preserve">Pkw und Lkw, die mit erneuerbaren </w:t>
      </w:r>
      <w:r w:rsidR="001406CE">
        <w:rPr>
          <w:b/>
          <w:bCs/>
          <w:sz w:val="22"/>
          <w:szCs w:val="22"/>
        </w:rPr>
        <w:t>K</w:t>
      </w:r>
      <w:r w:rsidRPr="00F93B2E">
        <w:rPr>
          <w:b/>
          <w:bCs/>
          <w:sz w:val="22"/>
          <w:szCs w:val="22"/>
        </w:rPr>
        <w:t>raftstoffen betrieben werden, legten mehr als 7</w:t>
      </w:r>
      <w:r w:rsidR="001F5CAF">
        <w:rPr>
          <w:b/>
          <w:bCs/>
          <w:sz w:val="22"/>
          <w:szCs w:val="22"/>
        </w:rPr>
        <w:t>7.5</w:t>
      </w:r>
      <w:r w:rsidRPr="00F93B2E">
        <w:rPr>
          <w:b/>
          <w:bCs/>
          <w:sz w:val="22"/>
          <w:szCs w:val="22"/>
        </w:rPr>
        <w:t>00 Kilometer in 1</w:t>
      </w:r>
      <w:r w:rsidR="001F5CAF">
        <w:rPr>
          <w:b/>
          <w:bCs/>
          <w:sz w:val="22"/>
          <w:szCs w:val="22"/>
        </w:rPr>
        <w:t>6</w:t>
      </w:r>
      <w:r w:rsidRPr="00F93B2E">
        <w:rPr>
          <w:b/>
          <w:bCs/>
          <w:sz w:val="22"/>
          <w:szCs w:val="22"/>
        </w:rPr>
        <w:t xml:space="preserve"> Ländern zurück, wobei 8</w:t>
      </w:r>
      <w:r w:rsidR="00F17583">
        <w:rPr>
          <w:b/>
          <w:bCs/>
          <w:sz w:val="22"/>
          <w:szCs w:val="22"/>
        </w:rPr>
        <w:t>4</w:t>
      </w:r>
      <w:r w:rsidRPr="00F93B2E">
        <w:rPr>
          <w:b/>
          <w:bCs/>
          <w:sz w:val="22"/>
          <w:szCs w:val="22"/>
        </w:rPr>
        <w:t xml:space="preserve"> </w:t>
      </w:r>
      <w:r w:rsidR="00DB253F">
        <w:rPr>
          <w:b/>
          <w:bCs/>
          <w:sz w:val="22"/>
          <w:szCs w:val="22"/>
        </w:rPr>
        <w:t>Prozent</w:t>
      </w:r>
      <w:r w:rsidRPr="00F93B2E">
        <w:rPr>
          <w:b/>
          <w:bCs/>
          <w:sz w:val="22"/>
          <w:szCs w:val="22"/>
        </w:rPr>
        <w:t xml:space="preserve"> der Gesamtstrecke mit 100 </w:t>
      </w:r>
      <w:r w:rsidR="00DB253F">
        <w:rPr>
          <w:b/>
          <w:bCs/>
          <w:sz w:val="22"/>
          <w:szCs w:val="22"/>
        </w:rPr>
        <w:t>Prozent</w:t>
      </w:r>
      <w:r w:rsidRPr="00F93B2E">
        <w:rPr>
          <w:b/>
          <w:bCs/>
          <w:sz w:val="22"/>
          <w:szCs w:val="22"/>
        </w:rPr>
        <w:t xml:space="preserve"> erneuerbaren Kraftstoffen zurückgelegt wurden, was eine Treibhausgaseinsparung von </w:t>
      </w:r>
      <w:r w:rsidR="00F17583">
        <w:rPr>
          <w:b/>
          <w:bCs/>
          <w:sz w:val="22"/>
          <w:szCs w:val="22"/>
        </w:rPr>
        <w:t>67</w:t>
      </w:r>
      <w:r w:rsidRPr="00F93B2E">
        <w:rPr>
          <w:b/>
          <w:bCs/>
          <w:sz w:val="22"/>
          <w:szCs w:val="22"/>
        </w:rPr>
        <w:t xml:space="preserve"> </w:t>
      </w:r>
      <w:r w:rsidR="00DB253F">
        <w:rPr>
          <w:b/>
          <w:bCs/>
          <w:sz w:val="22"/>
          <w:szCs w:val="22"/>
        </w:rPr>
        <w:t>Prozent</w:t>
      </w:r>
      <w:r w:rsidRPr="00F93B2E">
        <w:rPr>
          <w:b/>
          <w:bCs/>
          <w:sz w:val="22"/>
          <w:szCs w:val="22"/>
        </w:rPr>
        <w:t xml:space="preserve"> der insgesamt gefahrenen Kilometer ermöglichte. Dieses Projekt</w:t>
      </w:r>
      <w:r w:rsidR="00E96464">
        <w:rPr>
          <w:b/>
          <w:bCs/>
          <w:sz w:val="22"/>
          <w:szCs w:val="22"/>
        </w:rPr>
        <w:t xml:space="preserve"> unter Realbedingungen</w:t>
      </w:r>
      <w:r w:rsidRPr="00F93B2E">
        <w:rPr>
          <w:b/>
          <w:bCs/>
          <w:sz w:val="22"/>
          <w:szCs w:val="22"/>
        </w:rPr>
        <w:t xml:space="preserve"> zeigt den wertvollen und potenziell unmittelbaren Beitrag erneuerbarer Kraftstoffe zur Dekarbonisierung des Verkehrs und die Aussicht, dass sie mit der richtigen EU-Politik noch mehr leisten können</w:t>
      </w:r>
      <w:r w:rsidR="00E96464">
        <w:rPr>
          <w:b/>
          <w:bCs/>
          <w:sz w:val="22"/>
          <w:szCs w:val="22"/>
        </w:rPr>
        <w:t>.</w:t>
      </w:r>
    </w:p>
    <w:bookmarkEnd w:id="0"/>
    <w:p w14:paraId="2E8A848D" w14:textId="7C169173" w:rsidR="004137BB" w:rsidRDefault="00040EB4" w:rsidP="008C27FB">
      <w:pPr>
        <w:spacing w:line="240" w:lineRule="auto"/>
        <w:jc w:val="both"/>
        <w:rPr>
          <w:sz w:val="22"/>
          <w:szCs w:val="22"/>
        </w:rPr>
      </w:pPr>
      <w:r>
        <w:rPr>
          <w:sz w:val="22"/>
          <w:szCs w:val="22"/>
        </w:rPr>
        <w:t>BR</w:t>
      </w:r>
      <w:r w:rsidR="00E96464" w:rsidRPr="003E4414">
        <w:rPr>
          <w:sz w:val="22"/>
          <w:szCs w:val="22"/>
        </w:rPr>
        <w:t>ÜSSEL</w:t>
      </w:r>
      <w:r w:rsidR="44F97C56" w:rsidRPr="44F97C56">
        <w:rPr>
          <w:sz w:val="22"/>
          <w:szCs w:val="22"/>
        </w:rPr>
        <w:t xml:space="preserve">, </w:t>
      </w:r>
      <w:r>
        <w:rPr>
          <w:sz w:val="22"/>
          <w:szCs w:val="22"/>
        </w:rPr>
        <w:t>2</w:t>
      </w:r>
      <w:r w:rsidR="00F44D2D">
        <w:rPr>
          <w:sz w:val="22"/>
          <w:szCs w:val="22"/>
        </w:rPr>
        <w:t>4</w:t>
      </w:r>
      <w:r>
        <w:rPr>
          <w:sz w:val="22"/>
          <w:szCs w:val="22"/>
        </w:rPr>
        <w:t xml:space="preserve"> Jun</w:t>
      </w:r>
      <w:r w:rsidR="00E96464" w:rsidRPr="003E4414">
        <w:rPr>
          <w:sz w:val="22"/>
          <w:szCs w:val="22"/>
        </w:rPr>
        <w:t>i</w:t>
      </w:r>
      <w:r w:rsidR="44F97C56" w:rsidRPr="44F97C56">
        <w:rPr>
          <w:sz w:val="22"/>
          <w:szCs w:val="22"/>
        </w:rPr>
        <w:t xml:space="preserve"> 2025 – </w:t>
      </w:r>
      <w:r w:rsidR="003E4414" w:rsidRPr="003E4414">
        <w:rPr>
          <w:sz w:val="22"/>
          <w:szCs w:val="22"/>
        </w:rPr>
        <w:t xml:space="preserve">Bei einer europaweiten </w:t>
      </w:r>
      <w:r w:rsidR="003E4414">
        <w:rPr>
          <w:sz w:val="22"/>
          <w:szCs w:val="22"/>
        </w:rPr>
        <w:t xml:space="preserve">Tour </w:t>
      </w:r>
      <w:r w:rsidR="003E4414" w:rsidRPr="003E4414">
        <w:rPr>
          <w:sz w:val="22"/>
          <w:szCs w:val="22"/>
        </w:rPr>
        <w:t>mit Pkw und Lkw, die mit erneuerbaren Kraftstoffen betrieben werden, wurden mehr als 77</w:t>
      </w:r>
      <w:r w:rsidR="00522A14">
        <w:rPr>
          <w:sz w:val="22"/>
          <w:szCs w:val="22"/>
        </w:rPr>
        <w:t>.5</w:t>
      </w:r>
      <w:r w:rsidR="003E4414" w:rsidRPr="003E4414">
        <w:rPr>
          <w:sz w:val="22"/>
          <w:szCs w:val="22"/>
        </w:rPr>
        <w:t>00 Kilometer in 1</w:t>
      </w:r>
      <w:r w:rsidR="00522A14">
        <w:rPr>
          <w:sz w:val="22"/>
          <w:szCs w:val="22"/>
        </w:rPr>
        <w:t>6</w:t>
      </w:r>
      <w:r w:rsidR="003E4414" w:rsidRPr="003E4414">
        <w:rPr>
          <w:sz w:val="22"/>
          <w:szCs w:val="22"/>
        </w:rPr>
        <w:t xml:space="preserve"> Ländern zurückgelegt. Damit wurde unter Beweis gestellt, dass diese Kraftstoffe zu einer erheblichen Verringerung der Treibhausgasemissionen führen und Teil der EU-Maßnahmen zur Dekarbonisierung des Verkehrs sein sollten.</w:t>
      </w:r>
      <w:r w:rsidR="003E4414">
        <w:rPr>
          <w:sz w:val="22"/>
          <w:szCs w:val="22"/>
        </w:rPr>
        <w:t xml:space="preserve"> </w:t>
      </w:r>
    </w:p>
    <w:p w14:paraId="31C397A5" w14:textId="08D6DC05" w:rsidR="00894B03" w:rsidRDefault="00894B03" w:rsidP="008C27FB">
      <w:pPr>
        <w:spacing w:line="240" w:lineRule="auto"/>
        <w:jc w:val="both"/>
        <w:rPr>
          <w:sz w:val="22"/>
          <w:szCs w:val="22"/>
        </w:rPr>
      </w:pPr>
      <w:r w:rsidRPr="00894B03">
        <w:rPr>
          <w:sz w:val="22"/>
          <w:szCs w:val="22"/>
        </w:rPr>
        <w:t xml:space="preserve">Das dreimonatige Projekt ging </w:t>
      </w:r>
      <w:r w:rsidR="00F44D2D">
        <w:rPr>
          <w:sz w:val="22"/>
          <w:szCs w:val="22"/>
        </w:rPr>
        <w:t xml:space="preserve">gestern </w:t>
      </w:r>
      <w:r w:rsidRPr="00894B03">
        <w:rPr>
          <w:sz w:val="22"/>
          <w:szCs w:val="22"/>
        </w:rPr>
        <w:t>in Brüssel mit zwei Veranstaltungstagen im Europäischen Parlament und im Autoworld-Museum zu Ende, wo politische Entscheidungsträger und Interessenvertreter aus der EU-Automobilwertschöpfungskette und dem Sektor der erneuerbaren Kraftstoffe zusammenkamen, um über den besten Weg zur Dekarbonisierung des Straßenverkehrs zu diskutieren.</w:t>
      </w:r>
    </w:p>
    <w:p w14:paraId="0ED958F5" w14:textId="411479D9" w:rsidR="00990041" w:rsidRDefault="00990041" w:rsidP="008C27FB">
      <w:pPr>
        <w:spacing w:line="240" w:lineRule="auto"/>
        <w:jc w:val="both"/>
        <w:rPr>
          <w:sz w:val="22"/>
          <w:szCs w:val="22"/>
        </w:rPr>
      </w:pPr>
      <w:r w:rsidRPr="005060DD">
        <w:rPr>
          <w:sz w:val="22"/>
          <w:szCs w:val="22"/>
        </w:rPr>
        <w:t>Die Treibhausgaseinsparungen bei der Tour d'Europe wurden mit Hilfe eines Softwaretools, dem „Digital Fuel Twin“ (DFT) zertifiziert, das die Verwendung erneuerbarer Kraftstoffe und die daraus resultierende Verringerung der CO2-Emissionen überprüft.</w:t>
      </w:r>
    </w:p>
    <w:p w14:paraId="17F11719" w14:textId="52D68E85" w:rsidR="00017809" w:rsidRDefault="005060DD" w:rsidP="00181C32">
      <w:pPr>
        <w:spacing w:line="240" w:lineRule="auto"/>
        <w:jc w:val="both"/>
        <w:rPr>
          <w:sz w:val="22"/>
          <w:szCs w:val="22"/>
        </w:rPr>
      </w:pPr>
      <w:r w:rsidRPr="005060DD">
        <w:rPr>
          <w:sz w:val="22"/>
          <w:szCs w:val="22"/>
        </w:rPr>
        <w:t xml:space="preserve">Die gesammelten Daten wurden dann </w:t>
      </w:r>
      <w:r w:rsidR="003D4A1D">
        <w:rPr>
          <w:sz w:val="22"/>
          <w:szCs w:val="22"/>
        </w:rPr>
        <w:t xml:space="preserve">von </w:t>
      </w:r>
      <w:r w:rsidR="003D4A1D" w:rsidRPr="00EF4BCB">
        <w:rPr>
          <w:sz w:val="22"/>
          <w:szCs w:val="22"/>
        </w:rPr>
        <w:t xml:space="preserve">der Technischen Universität Darmstadt und des Karlsruher Instituts für Technologie </w:t>
      </w:r>
      <w:r w:rsidRPr="005060DD">
        <w:rPr>
          <w:sz w:val="22"/>
          <w:szCs w:val="22"/>
        </w:rPr>
        <w:t>analysiert</w:t>
      </w:r>
      <w:r w:rsidR="009B1407">
        <w:rPr>
          <w:sz w:val="22"/>
          <w:szCs w:val="22"/>
        </w:rPr>
        <w:t xml:space="preserve"> und in einem Bericht </w:t>
      </w:r>
      <w:r w:rsidR="008B19DF">
        <w:rPr>
          <w:sz w:val="22"/>
          <w:szCs w:val="22"/>
        </w:rPr>
        <w:t>zusammengefasst</w:t>
      </w:r>
      <w:r w:rsidRPr="005060DD">
        <w:rPr>
          <w:sz w:val="22"/>
          <w:szCs w:val="22"/>
        </w:rPr>
        <w:t>, d</w:t>
      </w:r>
      <w:r w:rsidR="008B19DF">
        <w:rPr>
          <w:sz w:val="22"/>
          <w:szCs w:val="22"/>
        </w:rPr>
        <w:t>er</w:t>
      </w:r>
      <w:r w:rsidRPr="005060DD">
        <w:rPr>
          <w:sz w:val="22"/>
          <w:szCs w:val="22"/>
        </w:rPr>
        <w:t xml:space="preserve"> zu dem Schluss k</w:t>
      </w:r>
      <w:r w:rsidR="008B19DF">
        <w:rPr>
          <w:sz w:val="22"/>
          <w:szCs w:val="22"/>
        </w:rPr>
        <w:t>ommt</w:t>
      </w:r>
      <w:r w:rsidRPr="005060DD">
        <w:rPr>
          <w:sz w:val="22"/>
          <w:szCs w:val="22"/>
        </w:rPr>
        <w:t xml:space="preserve">, </w:t>
      </w:r>
      <w:r w:rsidR="0064607D">
        <w:rPr>
          <w:sz w:val="22"/>
          <w:szCs w:val="22"/>
        </w:rPr>
        <w:t>„</w:t>
      </w:r>
      <w:r w:rsidRPr="005060DD">
        <w:rPr>
          <w:sz w:val="22"/>
          <w:szCs w:val="22"/>
        </w:rPr>
        <w:t xml:space="preserve">dass erneuerbare Kraftstoffe ein einfaches und realisierbares CO2-Einsparungspotenzial haben, mit einer tatsächlichen und nachweisbaren CO2-Reduzierung von bis zu </w:t>
      </w:r>
      <w:r w:rsidR="008B19DF">
        <w:rPr>
          <w:sz w:val="22"/>
          <w:szCs w:val="22"/>
        </w:rPr>
        <w:t>77</w:t>
      </w:r>
      <w:r w:rsidRPr="005060DD">
        <w:rPr>
          <w:sz w:val="22"/>
          <w:szCs w:val="22"/>
        </w:rPr>
        <w:t xml:space="preserve"> </w:t>
      </w:r>
      <w:r>
        <w:rPr>
          <w:sz w:val="22"/>
          <w:szCs w:val="22"/>
        </w:rPr>
        <w:t>Prozent</w:t>
      </w:r>
      <w:r w:rsidRPr="005060DD">
        <w:rPr>
          <w:sz w:val="22"/>
          <w:szCs w:val="22"/>
        </w:rPr>
        <w:t xml:space="preserve"> auf Well-to-Wheel-Basis".</w:t>
      </w:r>
      <w:r w:rsidR="00D41774">
        <w:rPr>
          <w:sz w:val="22"/>
          <w:szCs w:val="22"/>
        </w:rPr>
        <w:t xml:space="preserve"> </w:t>
      </w:r>
      <w:r w:rsidR="006C6B25">
        <w:rPr>
          <w:sz w:val="22"/>
          <w:szCs w:val="22"/>
        </w:rPr>
        <w:t>Der</w:t>
      </w:r>
      <w:r w:rsidR="00D7156F" w:rsidRPr="00D7156F">
        <w:rPr>
          <w:sz w:val="22"/>
          <w:szCs w:val="22"/>
        </w:rPr>
        <w:t xml:space="preserve"> Bericht </w:t>
      </w:r>
      <w:r w:rsidR="006C6B25">
        <w:rPr>
          <w:sz w:val="22"/>
          <w:szCs w:val="22"/>
        </w:rPr>
        <w:t>macht</w:t>
      </w:r>
      <w:r w:rsidR="00D7156F" w:rsidRPr="00D7156F">
        <w:rPr>
          <w:sz w:val="22"/>
          <w:szCs w:val="22"/>
        </w:rPr>
        <w:t xml:space="preserve"> außerdem</w:t>
      </w:r>
      <w:r w:rsidR="00E468E7">
        <w:rPr>
          <w:sz w:val="22"/>
          <w:szCs w:val="22"/>
        </w:rPr>
        <w:t xml:space="preserve"> deutlich</w:t>
      </w:r>
      <w:r w:rsidR="00D7156F" w:rsidRPr="00D7156F">
        <w:rPr>
          <w:sz w:val="22"/>
          <w:szCs w:val="22"/>
        </w:rPr>
        <w:t xml:space="preserve">, </w:t>
      </w:r>
      <w:r w:rsidR="00950412" w:rsidRPr="00EF4BCB">
        <w:rPr>
          <w:sz w:val="22"/>
          <w:szCs w:val="22"/>
        </w:rPr>
        <w:t xml:space="preserve">dass der EU-Ansatz </w:t>
      </w:r>
      <w:r w:rsidR="00950412">
        <w:rPr>
          <w:sz w:val="22"/>
          <w:szCs w:val="22"/>
        </w:rPr>
        <w:t xml:space="preserve">nicht nur </w:t>
      </w:r>
      <w:r w:rsidR="00950412" w:rsidRPr="00EF4BCB">
        <w:rPr>
          <w:sz w:val="22"/>
          <w:szCs w:val="22"/>
        </w:rPr>
        <w:t>technologieneutral sein</w:t>
      </w:r>
      <w:r w:rsidR="00950412">
        <w:rPr>
          <w:sz w:val="22"/>
          <w:szCs w:val="22"/>
        </w:rPr>
        <w:t xml:space="preserve"> sollte, sondern auch </w:t>
      </w:r>
      <w:r w:rsidR="00950412" w:rsidRPr="00EF4BCB">
        <w:rPr>
          <w:sz w:val="22"/>
          <w:szCs w:val="22"/>
        </w:rPr>
        <w:t xml:space="preserve">auf in ganz Europa verfügbare </w:t>
      </w:r>
      <w:r w:rsidR="00950412">
        <w:rPr>
          <w:sz w:val="22"/>
          <w:szCs w:val="22"/>
        </w:rPr>
        <w:t xml:space="preserve">und </w:t>
      </w:r>
      <w:r w:rsidR="00950412" w:rsidRPr="00EF4BCB">
        <w:rPr>
          <w:sz w:val="22"/>
          <w:szCs w:val="22"/>
        </w:rPr>
        <w:t>mit der heutigen Fahrzeugtechnologie und Betankungsinfrastruktur kompatible erneuerbare Kraftstoffe setzen sollte.</w:t>
      </w:r>
    </w:p>
    <w:p w14:paraId="66DD0516" w14:textId="4B3EC3CC" w:rsidR="00F23A74" w:rsidRDefault="00F23A74" w:rsidP="008C27FB">
      <w:pPr>
        <w:spacing w:line="240" w:lineRule="auto"/>
        <w:jc w:val="both"/>
        <w:rPr>
          <w:sz w:val="22"/>
          <w:szCs w:val="22"/>
        </w:rPr>
      </w:pPr>
      <w:r w:rsidRPr="00F23A74">
        <w:rPr>
          <w:sz w:val="22"/>
          <w:szCs w:val="22"/>
        </w:rPr>
        <w:lastRenderedPageBreak/>
        <w:t xml:space="preserve">Die Fahrzeuge </w:t>
      </w:r>
      <w:r>
        <w:rPr>
          <w:sz w:val="22"/>
          <w:szCs w:val="22"/>
        </w:rPr>
        <w:t>–</w:t>
      </w:r>
      <w:r w:rsidRPr="00F23A74">
        <w:rPr>
          <w:sz w:val="22"/>
          <w:szCs w:val="22"/>
        </w:rPr>
        <w:t xml:space="preserve"> 11 Pkw und 6 Lkw </w:t>
      </w:r>
      <w:r>
        <w:rPr>
          <w:sz w:val="22"/>
          <w:szCs w:val="22"/>
        </w:rPr>
        <w:t>–</w:t>
      </w:r>
      <w:r w:rsidRPr="00F23A74">
        <w:rPr>
          <w:sz w:val="22"/>
          <w:szCs w:val="22"/>
        </w:rPr>
        <w:t xml:space="preserve"> legten 77</w:t>
      </w:r>
      <w:r w:rsidR="0027339D">
        <w:rPr>
          <w:sz w:val="22"/>
          <w:szCs w:val="22"/>
        </w:rPr>
        <w:t>.</w:t>
      </w:r>
      <w:r w:rsidRPr="00F23A74">
        <w:rPr>
          <w:sz w:val="22"/>
          <w:szCs w:val="22"/>
        </w:rPr>
        <w:t xml:space="preserve">500 </w:t>
      </w:r>
      <w:r>
        <w:rPr>
          <w:sz w:val="22"/>
          <w:szCs w:val="22"/>
        </w:rPr>
        <w:t>Kilometer</w:t>
      </w:r>
      <w:r w:rsidRPr="00F23A74">
        <w:rPr>
          <w:sz w:val="22"/>
          <w:szCs w:val="22"/>
        </w:rPr>
        <w:t xml:space="preserve"> auf fünf verschiedenen Hauptrouten durch Europa zurück. Sie tankten 2</w:t>
      </w:r>
      <w:r w:rsidR="00A12A04">
        <w:rPr>
          <w:sz w:val="22"/>
          <w:szCs w:val="22"/>
        </w:rPr>
        <w:t>89</w:t>
      </w:r>
      <w:r w:rsidRPr="00F23A74">
        <w:rPr>
          <w:sz w:val="22"/>
          <w:szCs w:val="22"/>
        </w:rPr>
        <w:t xml:space="preserve"> Mal eine Vielzahl von erneuerbaren Kraftstoffen: HVO und B100 für Dieselmotoren, E85 für Benzin- und Hybridmotoren, Bio</w:t>
      </w:r>
      <w:r>
        <w:rPr>
          <w:sz w:val="22"/>
          <w:szCs w:val="22"/>
        </w:rPr>
        <w:t>-</w:t>
      </w:r>
      <w:r w:rsidRPr="00F23A74">
        <w:rPr>
          <w:sz w:val="22"/>
          <w:szCs w:val="22"/>
        </w:rPr>
        <w:t>LNG</w:t>
      </w:r>
      <w:r w:rsidR="002009D4">
        <w:rPr>
          <w:sz w:val="22"/>
          <w:szCs w:val="22"/>
        </w:rPr>
        <w:t xml:space="preserve"> für </w:t>
      </w:r>
      <w:r w:rsidR="00CA0DB3">
        <w:rPr>
          <w:sz w:val="22"/>
          <w:szCs w:val="22"/>
        </w:rPr>
        <w:t>Lkw</w:t>
      </w:r>
      <w:r w:rsidRPr="00F23A74">
        <w:rPr>
          <w:sz w:val="22"/>
          <w:szCs w:val="22"/>
        </w:rPr>
        <w:t xml:space="preserve"> und </w:t>
      </w:r>
      <w:r w:rsidR="00837F21">
        <w:rPr>
          <w:sz w:val="22"/>
          <w:szCs w:val="22"/>
        </w:rPr>
        <w:t xml:space="preserve">jeweils geeignete </w:t>
      </w:r>
      <w:r w:rsidRPr="00F23A74">
        <w:rPr>
          <w:sz w:val="22"/>
          <w:szCs w:val="22"/>
        </w:rPr>
        <w:t>Mischungen</w:t>
      </w:r>
      <w:r w:rsidR="00CA0DB3">
        <w:rPr>
          <w:sz w:val="22"/>
          <w:szCs w:val="22"/>
        </w:rPr>
        <w:t xml:space="preserve">, wenn kein zu 100 Prozent erneuerbarer </w:t>
      </w:r>
      <w:r w:rsidR="00DB49BE">
        <w:rPr>
          <w:sz w:val="22"/>
          <w:szCs w:val="22"/>
        </w:rPr>
        <w:t>Kraftstoff</w:t>
      </w:r>
      <w:r w:rsidR="00CA0DB3">
        <w:rPr>
          <w:sz w:val="22"/>
          <w:szCs w:val="22"/>
        </w:rPr>
        <w:t xml:space="preserve"> </w:t>
      </w:r>
      <w:r w:rsidR="00DB49BE">
        <w:rPr>
          <w:sz w:val="22"/>
          <w:szCs w:val="22"/>
        </w:rPr>
        <w:t>zur Verfügung stand</w:t>
      </w:r>
      <w:r w:rsidRPr="00F23A74">
        <w:rPr>
          <w:sz w:val="22"/>
          <w:szCs w:val="22"/>
        </w:rPr>
        <w:t>.</w:t>
      </w:r>
    </w:p>
    <w:p w14:paraId="21DFE33E" w14:textId="791F3147" w:rsidR="00C92101" w:rsidRDefault="00C92101" w:rsidP="008C27FB">
      <w:pPr>
        <w:spacing w:line="240" w:lineRule="auto"/>
        <w:jc w:val="both"/>
        <w:rPr>
          <w:sz w:val="22"/>
          <w:szCs w:val="22"/>
        </w:rPr>
      </w:pPr>
      <w:r w:rsidRPr="00C92101">
        <w:rPr>
          <w:sz w:val="22"/>
          <w:szCs w:val="22"/>
        </w:rPr>
        <w:t xml:space="preserve">Der Bericht zeigt deutlich, dass erneuerbare Kraftstoffe einen flexiblen, technologieoffenen Weg zur Dekarbonisierung des Straßenverkehrs bieten </w:t>
      </w:r>
      <w:r>
        <w:rPr>
          <w:sz w:val="22"/>
          <w:szCs w:val="22"/>
        </w:rPr>
        <w:t>–</w:t>
      </w:r>
      <w:r w:rsidRPr="00C92101">
        <w:rPr>
          <w:sz w:val="22"/>
          <w:szCs w:val="22"/>
        </w:rPr>
        <w:t xml:space="preserve"> in Ergänzung zu </w:t>
      </w:r>
      <w:r>
        <w:rPr>
          <w:sz w:val="22"/>
          <w:szCs w:val="22"/>
        </w:rPr>
        <w:t xml:space="preserve">batterieelektrischen und wasserstoffbasierten </w:t>
      </w:r>
      <w:r w:rsidRPr="00C92101">
        <w:rPr>
          <w:sz w:val="22"/>
          <w:szCs w:val="22"/>
        </w:rPr>
        <w:t>Lösungen. Die Partner der Tour d'Europe sind sich einig: Erneuerbare Kraftstoffe sind entscheidend für das Erreichen der Klimaziele. Sie senken bereits heute die Treibhausgasemissionen bestehender Fahrzeuge und werden auch in Zukunft eine wichtige Rolle beim Antrieb neuer Fahrzeuge auf dem Weg in eine nachhaltige Zukunft spielen.</w:t>
      </w:r>
    </w:p>
    <w:p w14:paraId="3A6866D8" w14:textId="41EA33E3" w:rsidR="00212A49" w:rsidRPr="00212A49" w:rsidRDefault="00212A49" w:rsidP="008C27FB">
      <w:pPr>
        <w:spacing w:line="240" w:lineRule="auto"/>
        <w:jc w:val="both"/>
        <w:rPr>
          <w:sz w:val="22"/>
          <w:szCs w:val="22"/>
        </w:rPr>
      </w:pPr>
      <w:r w:rsidRPr="00212A49">
        <w:rPr>
          <w:b/>
          <w:bCs/>
          <w:sz w:val="22"/>
          <w:szCs w:val="22"/>
        </w:rPr>
        <w:t>ÜBER DIE TOUR D'EUROPE</w:t>
      </w:r>
      <w:r w:rsidRPr="00212A49">
        <w:rPr>
          <w:sz w:val="22"/>
          <w:szCs w:val="22"/>
        </w:rPr>
        <w:t xml:space="preserve">: Das Projekt Tour d'Europe bringt </w:t>
      </w:r>
      <w:r w:rsidR="00BF68EC">
        <w:rPr>
          <w:sz w:val="22"/>
          <w:szCs w:val="22"/>
        </w:rPr>
        <w:t>26 U</w:t>
      </w:r>
      <w:r w:rsidRPr="00212A49">
        <w:rPr>
          <w:sz w:val="22"/>
          <w:szCs w:val="22"/>
        </w:rPr>
        <w:t>nternehmen, Verbände und Institutionen aus der gesamten Wertschöpfungskette der Automobil- und Kraftstoffbranche zusammen, darunter: AVIA, BMW, Bosch, Collective du Bioéthanol, DAF Trucks, Daimler Truck AG, EBB, Enilive, EWABA, ePURE, Ford Trucks / TJA, FuelsEurope, Hyundai, I</w:t>
      </w:r>
      <w:r>
        <w:rPr>
          <w:sz w:val="22"/>
          <w:szCs w:val="22"/>
        </w:rPr>
        <w:t>VECO</w:t>
      </w:r>
      <w:r w:rsidRPr="00212A49">
        <w:rPr>
          <w:sz w:val="22"/>
          <w:szCs w:val="22"/>
        </w:rPr>
        <w:t>, IRU, Moeve, Neste, PRIO, Repsol, Shell, Transportes Aguieira, Universität Darmstadt, Universität Karlsruhe</w:t>
      </w:r>
      <w:r>
        <w:rPr>
          <w:sz w:val="22"/>
          <w:szCs w:val="22"/>
        </w:rPr>
        <w:t xml:space="preserve"> und den</w:t>
      </w:r>
      <w:r w:rsidRPr="00212A49">
        <w:rPr>
          <w:sz w:val="22"/>
          <w:szCs w:val="22"/>
        </w:rPr>
        <w:t xml:space="preserve"> VDA.</w:t>
      </w:r>
    </w:p>
    <w:p w14:paraId="6CB7DAAF" w14:textId="34ECF2E6" w:rsidR="00D55098" w:rsidRPr="005F4B55" w:rsidRDefault="006D7C24" w:rsidP="008C27FB">
      <w:pPr>
        <w:spacing w:line="240" w:lineRule="auto"/>
        <w:jc w:val="both"/>
        <w:rPr>
          <w:sz w:val="22"/>
          <w:szCs w:val="22"/>
        </w:rPr>
      </w:pPr>
      <w:r w:rsidRPr="006D7C24">
        <w:rPr>
          <w:sz w:val="22"/>
          <w:szCs w:val="22"/>
        </w:rPr>
        <w:t xml:space="preserve">Weitere Informationen </w:t>
      </w:r>
      <w:r>
        <w:rPr>
          <w:sz w:val="22"/>
          <w:szCs w:val="22"/>
        </w:rPr>
        <w:t xml:space="preserve">zur </w:t>
      </w:r>
      <w:r w:rsidRPr="006D7C24">
        <w:rPr>
          <w:sz w:val="22"/>
          <w:szCs w:val="22"/>
        </w:rPr>
        <w:t xml:space="preserve">Tour d'Europe und die Vorteile erneuerbarer Kraftstoffe </w:t>
      </w:r>
      <w:r>
        <w:rPr>
          <w:sz w:val="22"/>
          <w:szCs w:val="22"/>
        </w:rPr>
        <w:t xml:space="preserve">gibt es </w:t>
      </w:r>
      <w:r w:rsidRPr="006D7C24">
        <w:rPr>
          <w:sz w:val="22"/>
          <w:szCs w:val="22"/>
        </w:rPr>
        <w:t xml:space="preserve">unter </w:t>
      </w:r>
      <w:hyperlink r:id="rId12" w:history="1">
        <w:r w:rsidRPr="002F53BD">
          <w:rPr>
            <w:rStyle w:val="Hyperlink"/>
            <w:sz w:val="22"/>
            <w:szCs w:val="22"/>
          </w:rPr>
          <w:t>www.tourdeurope.eu</w:t>
        </w:r>
      </w:hyperlink>
      <w:r>
        <w:rPr>
          <w:sz w:val="22"/>
          <w:szCs w:val="22"/>
        </w:rPr>
        <w:t xml:space="preserve"> </w:t>
      </w:r>
    </w:p>
    <w:p w14:paraId="0C82AC5F" w14:textId="50599339" w:rsidR="44F97C56" w:rsidRDefault="44F97C56" w:rsidP="44F97C56">
      <w:pPr>
        <w:spacing w:line="240" w:lineRule="auto"/>
        <w:rPr>
          <w:sz w:val="22"/>
          <w:szCs w:val="22"/>
        </w:rPr>
      </w:pPr>
    </w:p>
    <w:p w14:paraId="5CD6F644" w14:textId="4166EA43" w:rsidR="005F4B55" w:rsidRPr="005F4B55" w:rsidRDefault="006D7C24" w:rsidP="44F97C56">
      <w:pPr>
        <w:spacing w:line="240" w:lineRule="auto"/>
        <w:rPr>
          <w:sz w:val="22"/>
          <w:szCs w:val="22"/>
        </w:rPr>
      </w:pPr>
      <w:r>
        <w:rPr>
          <w:sz w:val="22"/>
          <w:szCs w:val="22"/>
        </w:rPr>
        <w:t>Kontakt</w:t>
      </w:r>
      <w:r w:rsidR="44F97C56" w:rsidRPr="44F97C56">
        <w:rPr>
          <w:sz w:val="22"/>
          <w:szCs w:val="22"/>
        </w:rPr>
        <w:t xml:space="preserve">: </w:t>
      </w:r>
      <w:hyperlink r:id="rId13">
        <w:r w:rsidR="44F97C56" w:rsidRPr="44F97C56">
          <w:rPr>
            <w:rStyle w:val="Hyperlink"/>
            <w:sz w:val="22"/>
            <w:szCs w:val="22"/>
          </w:rPr>
          <w:t>contact@tourdeurope.eu</w:t>
        </w:r>
      </w:hyperlink>
    </w:p>
    <w:p w14:paraId="7EB6FDFF" w14:textId="587BB1B6" w:rsidR="3CB702E1" w:rsidRPr="00193792" w:rsidRDefault="3CB702E1" w:rsidP="00193792">
      <w:pPr>
        <w:spacing w:line="240" w:lineRule="auto"/>
        <w:rPr>
          <w:rFonts w:eastAsiaTheme="minorEastAsia"/>
          <w:sz w:val="22"/>
          <w:szCs w:val="22"/>
        </w:rPr>
      </w:pPr>
    </w:p>
    <w:sectPr w:rsidR="3CB702E1" w:rsidRPr="00193792" w:rsidSect="004137B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ECF29" w14:textId="77777777" w:rsidR="00D44DB2" w:rsidRDefault="00D44DB2">
      <w:pPr>
        <w:spacing w:after="0" w:line="240" w:lineRule="auto"/>
      </w:pPr>
      <w:r>
        <w:separator/>
      </w:r>
    </w:p>
  </w:endnote>
  <w:endnote w:type="continuationSeparator" w:id="0">
    <w:p w14:paraId="5D853AE0" w14:textId="77777777" w:rsidR="00D44DB2" w:rsidRDefault="00D44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009"/>
      <w:gridCol w:w="3009"/>
      <w:gridCol w:w="3009"/>
    </w:tblGrid>
    <w:tr w:rsidR="05C1D952" w14:paraId="571A47AA" w14:textId="77777777" w:rsidTr="05C1D952">
      <w:tc>
        <w:tcPr>
          <w:tcW w:w="3009" w:type="dxa"/>
        </w:tcPr>
        <w:p w14:paraId="10D552BE" w14:textId="42486653" w:rsidR="05C1D952" w:rsidRDefault="05C1D952" w:rsidP="05C1D952">
          <w:pPr>
            <w:pStyle w:val="Kopfzeile"/>
            <w:ind w:left="-115"/>
          </w:pPr>
        </w:p>
      </w:tc>
      <w:tc>
        <w:tcPr>
          <w:tcW w:w="3009" w:type="dxa"/>
        </w:tcPr>
        <w:p w14:paraId="39E88152" w14:textId="77DC573A" w:rsidR="05C1D952" w:rsidRDefault="05C1D952" w:rsidP="05C1D952">
          <w:pPr>
            <w:pStyle w:val="Kopfzeile"/>
            <w:jc w:val="center"/>
          </w:pPr>
        </w:p>
      </w:tc>
      <w:tc>
        <w:tcPr>
          <w:tcW w:w="3009" w:type="dxa"/>
        </w:tcPr>
        <w:p w14:paraId="7D9C0D89" w14:textId="4E16E8FA" w:rsidR="05C1D952" w:rsidRDefault="05C1D952" w:rsidP="05C1D952">
          <w:pPr>
            <w:pStyle w:val="Kopfzeile"/>
            <w:ind w:right="-115"/>
            <w:jc w:val="right"/>
          </w:pPr>
        </w:p>
      </w:tc>
    </w:tr>
  </w:tbl>
  <w:p w14:paraId="0D5B10ED" w14:textId="4D23B9EA" w:rsidR="05C1D952" w:rsidRDefault="05C1D952" w:rsidP="05C1D9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F627B" w14:textId="77777777" w:rsidR="00D44DB2" w:rsidRDefault="00D44DB2">
      <w:pPr>
        <w:spacing w:after="0" w:line="240" w:lineRule="auto"/>
      </w:pPr>
      <w:r>
        <w:separator/>
      </w:r>
    </w:p>
  </w:footnote>
  <w:footnote w:type="continuationSeparator" w:id="0">
    <w:p w14:paraId="33304F49" w14:textId="77777777" w:rsidR="00D44DB2" w:rsidRDefault="00D44D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009"/>
      <w:gridCol w:w="3009"/>
      <w:gridCol w:w="3009"/>
    </w:tblGrid>
    <w:tr w:rsidR="05C1D952" w14:paraId="26139898" w14:textId="77777777" w:rsidTr="53FE71E0">
      <w:tc>
        <w:tcPr>
          <w:tcW w:w="3009" w:type="dxa"/>
        </w:tcPr>
        <w:p w14:paraId="10B6625C" w14:textId="77892182" w:rsidR="05C1D952" w:rsidRDefault="05C1D952" w:rsidP="05C1D952">
          <w:pPr>
            <w:pStyle w:val="Kopfzeile"/>
            <w:ind w:left="-115"/>
          </w:pPr>
        </w:p>
      </w:tc>
      <w:tc>
        <w:tcPr>
          <w:tcW w:w="3009" w:type="dxa"/>
        </w:tcPr>
        <w:p w14:paraId="2E3C4570" w14:textId="4FB5F300" w:rsidR="05C1D952" w:rsidRDefault="05C1D952" w:rsidP="05C1D952">
          <w:pPr>
            <w:pStyle w:val="Kopfzeile"/>
            <w:jc w:val="center"/>
          </w:pPr>
        </w:p>
      </w:tc>
      <w:tc>
        <w:tcPr>
          <w:tcW w:w="3009" w:type="dxa"/>
        </w:tcPr>
        <w:p w14:paraId="13F46322" w14:textId="73C6905B" w:rsidR="05C1D952" w:rsidRDefault="05C1D952" w:rsidP="05C1D952">
          <w:pPr>
            <w:pStyle w:val="Kopfzeile"/>
            <w:ind w:right="-115"/>
            <w:jc w:val="right"/>
          </w:pPr>
        </w:p>
      </w:tc>
    </w:tr>
  </w:tbl>
  <w:p w14:paraId="36832A0D" w14:textId="249393A3" w:rsidR="05C1D952" w:rsidRDefault="05C1D952" w:rsidP="05C1D9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325B"/>
    <w:multiLevelType w:val="hybridMultilevel"/>
    <w:tmpl w:val="06F410E4"/>
    <w:lvl w:ilvl="0" w:tplc="FFFFFFFF">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909269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F27"/>
    <w:rsid w:val="0000099C"/>
    <w:rsid w:val="000012E7"/>
    <w:rsid w:val="00017809"/>
    <w:rsid w:val="00021D88"/>
    <w:rsid w:val="00031ACC"/>
    <w:rsid w:val="00040EB4"/>
    <w:rsid w:val="00041B27"/>
    <w:rsid w:val="00052997"/>
    <w:rsid w:val="00065BEA"/>
    <w:rsid w:val="00085E65"/>
    <w:rsid w:val="00090F61"/>
    <w:rsid w:val="00096436"/>
    <w:rsid w:val="000D108F"/>
    <w:rsid w:val="000E3315"/>
    <w:rsid w:val="000E4922"/>
    <w:rsid w:val="000F28DF"/>
    <w:rsid w:val="0010779B"/>
    <w:rsid w:val="0011528F"/>
    <w:rsid w:val="00115AF4"/>
    <w:rsid w:val="001406CE"/>
    <w:rsid w:val="00181BB5"/>
    <w:rsid w:val="00181C32"/>
    <w:rsid w:val="00185F8D"/>
    <w:rsid w:val="00193792"/>
    <w:rsid w:val="001A5AAA"/>
    <w:rsid w:val="001F2AC9"/>
    <w:rsid w:val="001F5CAF"/>
    <w:rsid w:val="002009D4"/>
    <w:rsid w:val="00212A49"/>
    <w:rsid w:val="00240A21"/>
    <w:rsid w:val="0027339D"/>
    <w:rsid w:val="002A0349"/>
    <w:rsid w:val="002A0485"/>
    <w:rsid w:val="002A26D3"/>
    <w:rsid w:val="002C14E9"/>
    <w:rsid w:val="00316153"/>
    <w:rsid w:val="00323A82"/>
    <w:rsid w:val="0033565F"/>
    <w:rsid w:val="0034016C"/>
    <w:rsid w:val="00360097"/>
    <w:rsid w:val="00365D83"/>
    <w:rsid w:val="003919A4"/>
    <w:rsid w:val="00397C89"/>
    <w:rsid w:val="003D4A1D"/>
    <w:rsid w:val="003E4414"/>
    <w:rsid w:val="00407EFC"/>
    <w:rsid w:val="004137BB"/>
    <w:rsid w:val="00420001"/>
    <w:rsid w:val="004652A9"/>
    <w:rsid w:val="00497433"/>
    <w:rsid w:val="004A0C5C"/>
    <w:rsid w:val="004A774B"/>
    <w:rsid w:val="004B0DFE"/>
    <w:rsid w:val="004B49EF"/>
    <w:rsid w:val="004D7931"/>
    <w:rsid w:val="004E19FA"/>
    <w:rsid w:val="004F69BC"/>
    <w:rsid w:val="005060DD"/>
    <w:rsid w:val="00522A14"/>
    <w:rsid w:val="0052507B"/>
    <w:rsid w:val="005263B6"/>
    <w:rsid w:val="00527068"/>
    <w:rsid w:val="0054308E"/>
    <w:rsid w:val="0056385C"/>
    <w:rsid w:val="00595D4C"/>
    <w:rsid w:val="005B079F"/>
    <w:rsid w:val="005B0E7B"/>
    <w:rsid w:val="005B4096"/>
    <w:rsid w:val="005D091B"/>
    <w:rsid w:val="005E2404"/>
    <w:rsid w:val="005F4B55"/>
    <w:rsid w:val="0063520C"/>
    <w:rsid w:val="006458B9"/>
    <w:rsid w:val="0064607D"/>
    <w:rsid w:val="00671FB5"/>
    <w:rsid w:val="00675112"/>
    <w:rsid w:val="00691A20"/>
    <w:rsid w:val="006B3927"/>
    <w:rsid w:val="006B3DD3"/>
    <w:rsid w:val="006C6B25"/>
    <w:rsid w:val="006D471C"/>
    <w:rsid w:val="006D7C24"/>
    <w:rsid w:val="006F6C7E"/>
    <w:rsid w:val="007013CA"/>
    <w:rsid w:val="00710C07"/>
    <w:rsid w:val="007214B7"/>
    <w:rsid w:val="0075396C"/>
    <w:rsid w:val="0079010A"/>
    <w:rsid w:val="007D4310"/>
    <w:rsid w:val="008016DF"/>
    <w:rsid w:val="00803433"/>
    <w:rsid w:val="00837F21"/>
    <w:rsid w:val="008476F9"/>
    <w:rsid w:val="0089487F"/>
    <w:rsid w:val="00894B03"/>
    <w:rsid w:val="008B19DF"/>
    <w:rsid w:val="008C27FB"/>
    <w:rsid w:val="00904D0D"/>
    <w:rsid w:val="0091306C"/>
    <w:rsid w:val="0094555C"/>
    <w:rsid w:val="00950412"/>
    <w:rsid w:val="009511C2"/>
    <w:rsid w:val="00957F08"/>
    <w:rsid w:val="00961021"/>
    <w:rsid w:val="00961F3B"/>
    <w:rsid w:val="0098089C"/>
    <w:rsid w:val="00990041"/>
    <w:rsid w:val="009A048C"/>
    <w:rsid w:val="009A467C"/>
    <w:rsid w:val="009A5D33"/>
    <w:rsid w:val="009B1407"/>
    <w:rsid w:val="009D1627"/>
    <w:rsid w:val="009D5B92"/>
    <w:rsid w:val="009E0D9F"/>
    <w:rsid w:val="009F1E5D"/>
    <w:rsid w:val="009F6EFC"/>
    <w:rsid w:val="00A12A04"/>
    <w:rsid w:val="00A27320"/>
    <w:rsid w:val="00A3545F"/>
    <w:rsid w:val="00A73F27"/>
    <w:rsid w:val="00A9463E"/>
    <w:rsid w:val="00A95D9D"/>
    <w:rsid w:val="00AB50DB"/>
    <w:rsid w:val="00AF71AF"/>
    <w:rsid w:val="00B0480B"/>
    <w:rsid w:val="00B171D7"/>
    <w:rsid w:val="00B208F0"/>
    <w:rsid w:val="00B243AF"/>
    <w:rsid w:val="00B24D08"/>
    <w:rsid w:val="00B32FC3"/>
    <w:rsid w:val="00BC16A3"/>
    <w:rsid w:val="00BF68EC"/>
    <w:rsid w:val="00C00963"/>
    <w:rsid w:val="00C22EB1"/>
    <w:rsid w:val="00C27D07"/>
    <w:rsid w:val="00C412B1"/>
    <w:rsid w:val="00C5434A"/>
    <w:rsid w:val="00C84457"/>
    <w:rsid w:val="00C92101"/>
    <w:rsid w:val="00CA0DB3"/>
    <w:rsid w:val="00CA3064"/>
    <w:rsid w:val="00D2285E"/>
    <w:rsid w:val="00D41774"/>
    <w:rsid w:val="00D42734"/>
    <w:rsid w:val="00D44DB2"/>
    <w:rsid w:val="00D45896"/>
    <w:rsid w:val="00D55098"/>
    <w:rsid w:val="00D7156F"/>
    <w:rsid w:val="00D84E4B"/>
    <w:rsid w:val="00DB253F"/>
    <w:rsid w:val="00DB3278"/>
    <w:rsid w:val="00DB49BE"/>
    <w:rsid w:val="00E468E7"/>
    <w:rsid w:val="00E670C9"/>
    <w:rsid w:val="00E96464"/>
    <w:rsid w:val="00EB5556"/>
    <w:rsid w:val="00EE33D8"/>
    <w:rsid w:val="00EE48C7"/>
    <w:rsid w:val="00EF0CEA"/>
    <w:rsid w:val="00EF4BCB"/>
    <w:rsid w:val="00F02957"/>
    <w:rsid w:val="00F070A3"/>
    <w:rsid w:val="00F13DAE"/>
    <w:rsid w:val="00F17583"/>
    <w:rsid w:val="00F20AD0"/>
    <w:rsid w:val="00F23A74"/>
    <w:rsid w:val="00F44D2D"/>
    <w:rsid w:val="00F50327"/>
    <w:rsid w:val="00F76D58"/>
    <w:rsid w:val="00F93B2E"/>
    <w:rsid w:val="00FA180D"/>
    <w:rsid w:val="00FA1C35"/>
    <w:rsid w:val="00FD1442"/>
    <w:rsid w:val="00FD1648"/>
    <w:rsid w:val="00FF0057"/>
    <w:rsid w:val="00FF6750"/>
    <w:rsid w:val="022B1CB8"/>
    <w:rsid w:val="031D0331"/>
    <w:rsid w:val="05C1D952"/>
    <w:rsid w:val="05FD7A2B"/>
    <w:rsid w:val="0D987393"/>
    <w:rsid w:val="10167F96"/>
    <w:rsid w:val="1356DB49"/>
    <w:rsid w:val="13C1FF72"/>
    <w:rsid w:val="1BB20E44"/>
    <w:rsid w:val="1FE20B32"/>
    <w:rsid w:val="20471456"/>
    <w:rsid w:val="25015D1C"/>
    <w:rsid w:val="25994917"/>
    <w:rsid w:val="2C2C5BEB"/>
    <w:rsid w:val="2F9F7F19"/>
    <w:rsid w:val="311B13D3"/>
    <w:rsid w:val="3486C091"/>
    <w:rsid w:val="380F9523"/>
    <w:rsid w:val="3ADCEE94"/>
    <w:rsid w:val="3B5A8F18"/>
    <w:rsid w:val="3CB702E1"/>
    <w:rsid w:val="4355ED34"/>
    <w:rsid w:val="44F97C56"/>
    <w:rsid w:val="46FCD71A"/>
    <w:rsid w:val="475D5EC5"/>
    <w:rsid w:val="4947208A"/>
    <w:rsid w:val="49B244B3"/>
    <w:rsid w:val="4A236EDB"/>
    <w:rsid w:val="53FE71E0"/>
    <w:rsid w:val="543E98DA"/>
    <w:rsid w:val="578AE3A2"/>
    <w:rsid w:val="58D6BEEC"/>
    <w:rsid w:val="59A9E244"/>
    <w:rsid w:val="6D93A76F"/>
    <w:rsid w:val="6DD1464E"/>
  </w:rsids>
  <m:mathPr>
    <m:mathFont m:val="Cambria Math"/>
    <m:brkBin m:val="before"/>
    <m:brkBinSub m:val="--"/>
    <m:smallFrac m:val="0"/>
    <m:dispDef/>
    <m:lMargin m:val="0"/>
    <m:rMargin m:val="0"/>
    <m:defJc m:val="centerGroup"/>
    <m:wrapIndent m:val="1440"/>
    <m:intLim m:val="subSup"/>
    <m:naryLim m:val="undOvr"/>
  </m:mathPr>
  <w:themeFontLang w:val="de-DE"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58411"/>
  <w15:chartTrackingRefBased/>
  <w15:docId w15:val="{51CF1A1F-5731-4BF9-8204-A2DBA7A4E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73F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73F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73F2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73F2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73F2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73F2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73F2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73F2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73F2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73F2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73F2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73F2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73F2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73F2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73F2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73F2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73F2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73F27"/>
    <w:rPr>
      <w:rFonts w:eastAsiaTheme="majorEastAsia" w:cstheme="majorBidi"/>
      <w:color w:val="272727" w:themeColor="text1" w:themeTint="D8"/>
    </w:rPr>
  </w:style>
  <w:style w:type="paragraph" w:styleId="Titel">
    <w:name w:val="Title"/>
    <w:basedOn w:val="Standard"/>
    <w:next w:val="Standard"/>
    <w:link w:val="TitelZchn"/>
    <w:uiPriority w:val="10"/>
    <w:qFormat/>
    <w:rsid w:val="00A73F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73F2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73F2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73F2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73F2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73F27"/>
    <w:rPr>
      <w:i/>
      <w:iCs/>
      <w:color w:val="404040" w:themeColor="text1" w:themeTint="BF"/>
    </w:rPr>
  </w:style>
  <w:style w:type="paragraph" w:styleId="Listenabsatz">
    <w:name w:val="List Paragraph"/>
    <w:basedOn w:val="Standard"/>
    <w:uiPriority w:val="34"/>
    <w:qFormat/>
    <w:rsid w:val="00A73F27"/>
    <w:pPr>
      <w:ind w:left="720"/>
      <w:contextualSpacing/>
    </w:pPr>
  </w:style>
  <w:style w:type="character" w:styleId="IntensiveHervorhebung">
    <w:name w:val="Intense Emphasis"/>
    <w:basedOn w:val="Absatz-Standardschriftart"/>
    <w:uiPriority w:val="21"/>
    <w:qFormat/>
    <w:rsid w:val="00A73F27"/>
    <w:rPr>
      <w:i/>
      <w:iCs/>
      <w:color w:val="0F4761" w:themeColor="accent1" w:themeShade="BF"/>
    </w:rPr>
  </w:style>
  <w:style w:type="paragraph" w:styleId="IntensivesZitat">
    <w:name w:val="Intense Quote"/>
    <w:basedOn w:val="Standard"/>
    <w:next w:val="Standard"/>
    <w:link w:val="IntensivesZitatZchn"/>
    <w:uiPriority w:val="30"/>
    <w:qFormat/>
    <w:rsid w:val="00A73F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73F27"/>
    <w:rPr>
      <w:i/>
      <w:iCs/>
      <w:color w:val="0F4761" w:themeColor="accent1" w:themeShade="BF"/>
    </w:rPr>
  </w:style>
  <w:style w:type="character" w:styleId="IntensiverVerweis">
    <w:name w:val="Intense Reference"/>
    <w:basedOn w:val="Absatz-Standardschriftart"/>
    <w:uiPriority w:val="32"/>
    <w:qFormat/>
    <w:rsid w:val="00A73F27"/>
    <w:rPr>
      <w:b/>
      <w:bCs/>
      <w:smallCaps/>
      <w:color w:val="0F4761" w:themeColor="accent1" w:themeShade="BF"/>
      <w:spacing w:val="5"/>
    </w:rPr>
  </w:style>
  <w:style w:type="character" w:styleId="Hyperlink">
    <w:name w:val="Hyperlink"/>
    <w:basedOn w:val="Absatz-Standardschriftart"/>
    <w:uiPriority w:val="99"/>
    <w:unhideWhenUsed/>
    <w:rsid w:val="005E2404"/>
    <w:rPr>
      <w:color w:val="467886" w:themeColor="hyperlink"/>
      <w:u w:val="single"/>
    </w:rPr>
  </w:style>
  <w:style w:type="character" w:styleId="NichtaufgelsteErwhnung">
    <w:name w:val="Unresolved Mention"/>
    <w:basedOn w:val="Absatz-Standardschriftart"/>
    <w:uiPriority w:val="99"/>
    <w:semiHidden/>
    <w:unhideWhenUsed/>
    <w:rsid w:val="005E2404"/>
    <w:rPr>
      <w:color w:val="605E5C"/>
      <w:shd w:val="clear" w:color="auto" w:fill="E1DFDD"/>
    </w:rPr>
  </w:style>
  <w:style w:type="table" w:styleId="Tabellenraster">
    <w:name w:val="Table Grid"/>
    <w:basedOn w:val="NormaleTabelle"/>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KopfzeileZchn">
    <w:name w:val="Kopfzeile Zchn"/>
    <w:basedOn w:val="Absatz-Standardschriftart"/>
    <w:link w:val="Kopfzeile"/>
    <w:uiPriority w:val="99"/>
  </w:style>
  <w:style w:type="paragraph" w:styleId="Kopfzeile">
    <w:name w:val="header"/>
    <w:basedOn w:val="Standard"/>
    <w:link w:val="KopfzeileZchn"/>
    <w:uiPriority w:val="99"/>
    <w:unhideWhenUsed/>
    <w:pPr>
      <w:tabs>
        <w:tab w:val="center" w:pos="4680"/>
        <w:tab w:val="right" w:pos="9360"/>
      </w:tabs>
      <w:spacing w:after="0" w:line="240" w:lineRule="auto"/>
    </w:pPr>
  </w:style>
  <w:style w:type="character" w:customStyle="1" w:styleId="FuzeileZchn">
    <w:name w:val="Fußzeile Zchn"/>
    <w:basedOn w:val="Absatz-Standardschriftart"/>
    <w:link w:val="Fuzeile"/>
    <w:uiPriority w:val="99"/>
  </w:style>
  <w:style w:type="paragraph" w:styleId="Fuzeile">
    <w:name w:val="footer"/>
    <w:basedOn w:val="Standard"/>
    <w:link w:val="FuzeileZchn"/>
    <w:uiPriority w:val="99"/>
    <w:unhideWhenUsed/>
    <w:pPr>
      <w:tabs>
        <w:tab w:val="center" w:pos="4680"/>
        <w:tab w:val="right" w:pos="9360"/>
      </w:tabs>
      <w:spacing w:after="0" w:line="240" w:lineRule="auto"/>
    </w:pPr>
  </w:style>
  <w:style w:type="paragraph" w:styleId="Kommentartext">
    <w:name w:val="annotation text"/>
    <w:basedOn w:val="Standard"/>
    <w:link w:val="KommentartextZchn"/>
    <w:uiPriority w:val="99"/>
    <w:unhideWhenUsed/>
    <w:pPr>
      <w:spacing w:line="240" w:lineRule="auto"/>
    </w:pPr>
    <w:rPr>
      <w:sz w:val="20"/>
      <w:szCs w:val="20"/>
    </w:rPr>
  </w:style>
  <w:style w:type="character" w:customStyle="1" w:styleId="KommentartextZchn">
    <w:name w:val="Kommentartext Zchn"/>
    <w:basedOn w:val="Absatz-Standardschriftart"/>
    <w:link w:val="Kommentartext"/>
    <w:uiPriority w:val="99"/>
    <w:rPr>
      <w:sz w:val="20"/>
      <w:szCs w:val="20"/>
    </w:rPr>
  </w:style>
  <w:style w:type="character" w:styleId="Kommentarzeichen">
    <w:name w:val="annotation reference"/>
    <w:basedOn w:val="Absatz-Standardschriftart"/>
    <w:uiPriority w:val="99"/>
    <w:semiHidden/>
    <w:unhideWhenUsed/>
    <w:rPr>
      <w:sz w:val="16"/>
      <w:szCs w:val="16"/>
    </w:rPr>
  </w:style>
  <w:style w:type="paragraph" w:styleId="berarbeitung">
    <w:name w:val="Revision"/>
    <w:hidden/>
    <w:uiPriority w:val="99"/>
    <w:semiHidden/>
    <w:rsid w:val="00497433"/>
    <w:pPr>
      <w:spacing w:after="0" w:line="240" w:lineRule="auto"/>
    </w:pPr>
  </w:style>
  <w:style w:type="paragraph" w:styleId="Kommentarthema">
    <w:name w:val="annotation subject"/>
    <w:basedOn w:val="Kommentartext"/>
    <w:next w:val="Kommentartext"/>
    <w:link w:val="KommentarthemaZchn"/>
    <w:uiPriority w:val="99"/>
    <w:semiHidden/>
    <w:unhideWhenUsed/>
    <w:rsid w:val="00497433"/>
    <w:rPr>
      <w:b/>
      <w:bCs/>
    </w:rPr>
  </w:style>
  <w:style w:type="character" w:customStyle="1" w:styleId="KommentarthemaZchn">
    <w:name w:val="Kommentarthema Zchn"/>
    <w:basedOn w:val="KommentartextZchn"/>
    <w:link w:val="Kommentarthema"/>
    <w:uiPriority w:val="99"/>
    <w:semiHidden/>
    <w:rsid w:val="004974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ct@tourdeurope.eu"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ourdeurope.e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209C623E9BEED147ADED7DD844C5F19F" ma:contentTypeVersion="0" ma:contentTypeDescription="Create a new document." ma:contentTypeScope="" ma:versionID="4ff89a62cc32a55e34d0c8f190bb6069">
  <xsd:schema xmlns:xsd="http://www.w3.org/2001/XMLSchema" xmlns:xs="http://www.w3.org/2001/XMLSchema" xmlns:p="http://schemas.microsoft.com/office/2006/metadata/properties" xmlns:ns2="6d213951-0bc2-4efa-a2e7-6c94c3eeb862" targetNamespace="http://schemas.microsoft.com/office/2006/metadata/properties" ma:root="true" ma:fieldsID="2b0c8addf3a0168569671b5bbfc85d3e" ns2:_="">
    <xsd:import namespace="6d213951-0bc2-4efa-a2e7-6c94c3eeb86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213951-0bc2-4efa-a2e7-6c94c3eeb8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6d213951-0bc2-4efa-a2e7-6c94c3eeb862">EFMA-2080077861-888</_dlc_DocId>
    <_dlc_DocIdUrl xmlns="6d213951-0bc2-4efa-a2e7-6c94c3eeb862">
      <Url>https://extranet.fuelmanufacturers.eu/Concawe/_layouts/15/DocIdRedir.aspx?ID=EFMA-2080077861-888</Url>
      <Description>EFMA-2080077861-888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72D022-E3F2-41B1-BDD0-B9AA32B93470}">
  <ds:schemaRefs>
    <ds:schemaRef ds:uri="http://schemas.microsoft.com/sharepoint/events"/>
  </ds:schemaRefs>
</ds:datastoreItem>
</file>

<file path=customXml/itemProps2.xml><?xml version="1.0" encoding="utf-8"?>
<ds:datastoreItem xmlns:ds="http://schemas.openxmlformats.org/officeDocument/2006/customXml" ds:itemID="{64FC8373-5C1B-426D-BD56-911A7D5E4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213951-0bc2-4efa-a2e7-6c94c3eeb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A87901-C4A6-417A-B8E1-C8683A02AE91}">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6d213951-0bc2-4efa-a2e7-6c94c3eeb862"/>
    <ds:schemaRef ds:uri="http://www.w3.org/XML/1998/namespace"/>
    <ds:schemaRef ds:uri="http://purl.org/dc/dcmitype/"/>
  </ds:schemaRefs>
</ds:datastoreItem>
</file>

<file path=customXml/itemProps4.xml><?xml version="1.0" encoding="utf-8"?>
<ds:datastoreItem xmlns:ds="http://schemas.openxmlformats.org/officeDocument/2006/customXml" ds:itemID="{7804BEF3-A43A-4132-8ADF-21BF95EE74D2}">
  <ds:schemaRefs>
    <ds:schemaRef ds:uri="http://schemas.microsoft.com/sharepoint/v3/contenttype/forms"/>
  </ds:schemaRefs>
</ds:datastoreItem>
</file>

<file path=docMetadata/LabelInfo.xml><?xml version="1.0" encoding="utf-8"?>
<clbl:labelList xmlns:clbl="http://schemas.microsoft.com/office/2020/mipLabelMetadata">
  <clbl:label id="{335d2005-c7d0-4317-bb3f-e0e7aca65f98}" enabled="1" method="Standard" siteId="{624cb905-2091-41e4-90b9-e768cf22851a}" removed="0"/>
  <clbl:label id="{55da706b-7baf-417f-824a-8d6d03ee3e01}" enabled="1" method="Privileged" siteId="{7bed5601-97bf-4483-9b1a-0307a2fd81b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538</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Winneker</dc:creator>
  <cp:keywords/>
  <dc:description/>
  <cp:lastModifiedBy>WANNER Patrick (IVECO)</cp:lastModifiedBy>
  <cp:revision>3</cp:revision>
  <cp:lastPrinted>2025-06-24T07:01:00Z</cp:lastPrinted>
  <dcterms:created xsi:type="dcterms:W3CDTF">2025-06-24T07:00:00Z</dcterms:created>
  <dcterms:modified xsi:type="dcterms:W3CDTF">2025-06-24T07:01:00Z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0x010100209C623E9BEED147ADED7DD844C5F19F</vt:lpwstr>
  </property>
  <property fmtid="{D5CDD505-2E9C-101B-9397-08002B2CF9AE}" pid="3" name="_dlc_DocIdItemGuid">
    <vt:lpwstr>dbc7a77a-f968-4d22-b53f-2df9b15167e0</vt:lpwstr>
  </property>
</Properties>
</file>