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62C504" w14:textId="33B7472E" w:rsidR="00094EFE" w:rsidRPr="00684B49" w:rsidRDefault="00094EFE" w:rsidP="00094EFE">
      <w:pPr>
        <w:pStyle w:val="StandardHervorhebungrot"/>
        <w:rPr>
          <w:rStyle w:val="berschrift1Zchn"/>
          <w:rFonts w:eastAsia="Calibri"/>
          <w:b/>
          <w:color w:val="000000" w:themeColor="text1"/>
          <w:sz w:val="22"/>
          <w:szCs w:val="26"/>
        </w:rPr>
      </w:pPr>
      <w:r>
        <w:rPr>
          <w:noProof/>
        </w:rPr>
        <mc:AlternateContent>
          <mc:Choice Requires="wps">
            <w:drawing>
              <wp:anchor distT="0" distB="0" distL="114300" distR="114300" simplePos="0" relativeHeight="251659264" behindDoc="0" locked="0" layoutInCell="1" allowOverlap="1" wp14:anchorId="6790251C" wp14:editId="1FEC9524">
                <wp:simplePos x="0" y="0"/>
                <wp:positionH relativeFrom="column">
                  <wp:posOffset>4576445</wp:posOffset>
                </wp:positionH>
                <wp:positionV relativeFrom="paragraph">
                  <wp:posOffset>-1749425</wp:posOffset>
                </wp:positionV>
                <wp:extent cx="2092325" cy="1858010"/>
                <wp:effectExtent l="0" t="0" r="0" b="0"/>
                <wp:wrapNone/>
                <wp:docPr id="5" name="Textfeld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92325" cy="1858010"/>
                        </a:xfrm>
                        <a:prstGeom prst="rect">
                          <a:avLst/>
                        </a:prstGeom>
                        <a:noFill/>
                        <a:ln w="6350">
                          <a:noFill/>
                        </a:ln>
                      </wps:spPr>
                      <wps:txbx>
                        <w:txbxContent>
                          <w:p w14:paraId="2AB3B5B8" w14:textId="400B60A8" w:rsidR="00094EFE" w:rsidRPr="00FB6CCA" w:rsidRDefault="006131AB" w:rsidP="00094EFE">
                            <w:pPr>
                              <w:pStyle w:val="Titel"/>
                              <w:rPr>
                                <w:color w:val="4D4D4C"/>
                              </w:rPr>
                            </w:pPr>
                            <w:r w:rsidRPr="006131AB">
                              <w:rPr>
                                <w:color w:val="4D4D4C"/>
                              </w:rPr>
                              <w:t>2</w:t>
                            </w:r>
                            <w:r w:rsidR="00B066FC">
                              <w:rPr>
                                <w:color w:val="4D4D4C"/>
                              </w:rPr>
                              <w:t>5</w:t>
                            </w:r>
                            <w:r w:rsidR="00094EFE" w:rsidRPr="006131AB">
                              <w:rPr>
                                <w:color w:val="4D4D4C"/>
                              </w:rPr>
                              <w:t xml:space="preserve">. </w:t>
                            </w:r>
                            <w:r w:rsidR="00E76CFA" w:rsidRPr="006131AB">
                              <w:rPr>
                                <w:color w:val="4D4D4C"/>
                              </w:rPr>
                              <w:t>Oktober</w:t>
                            </w:r>
                            <w:r w:rsidR="00094EFE" w:rsidRPr="006131AB">
                              <w:rPr>
                                <w:color w:val="4D4D4C"/>
                              </w:rPr>
                              <w:t xml:space="preserve"> 2022</w:t>
                            </w:r>
                          </w:p>
                          <w:p w14:paraId="4B4F0F1D" w14:textId="77777777" w:rsidR="00094EFE" w:rsidRPr="00436749" w:rsidRDefault="00094EFE" w:rsidP="00094EFE">
                            <w:pPr>
                              <w:pStyle w:val="berschrift2"/>
                            </w:pPr>
                            <w:r w:rsidRPr="00436749">
                              <w:t xml:space="preserve">Pressemitteilung </w:t>
                            </w:r>
                          </w:p>
                          <w:p w14:paraId="33039903" w14:textId="77777777" w:rsidR="00094EFE" w:rsidRPr="00FB6CCA" w:rsidRDefault="00094EFE" w:rsidP="00094EFE">
                            <w:pPr>
                              <w:rPr>
                                <w:color w:val="4D4D4C"/>
                                <w:sz w:val="16"/>
                                <w:szCs w:val="16"/>
                              </w:rPr>
                            </w:pPr>
                            <w:r w:rsidRPr="00FB6CCA">
                              <w:rPr>
                                <w:color w:val="4D4D4C"/>
                              </w:rPr>
                              <w:t>Ihr Ansprechpartner</w:t>
                            </w:r>
                            <w:r w:rsidRPr="00FB6CCA">
                              <w:rPr>
                                <w:color w:val="4D4D4C"/>
                              </w:rPr>
                              <w:br/>
                            </w:r>
                            <w:r>
                              <w:rPr>
                                <w:color w:val="4D4D4C"/>
                              </w:rPr>
                              <w:t>Frank Reichert</w:t>
                            </w:r>
                            <w:r w:rsidRPr="00FB6CCA">
                              <w:rPr>
                                <w:color w:val="4D4D4C"/>
                              </w:rPr>
                              <w:br/>
                            </w:r>
                            <w:r>
                              <w:rPr>
                                <w:color w:val="4D4D4C"/>
                                <w:sz w:val="16"/>
                                <w:szCs w:val="16"/>
                              </w:rPr>
                              <w:t>Leiter Unternehmenskommunikation</w:t>
                            </w:r>
                          </w:p>
                          <w:p w14:paraId="2C11DAE3" w14:textId="77777777" w:rsidR="00094EFE" w:rsidRPr="008649DE" w:rsidRDefault="00094EFE" w:rsidP="00094EFE">
                            <w:pPr>
                              <w:rPr>
                                <w:color w:val="4D4D4C"/>
                                <w:lang w:val="en-US"/>
                              </w:rPr>
                            </w:pPr>
                            <w:r w:rsidRPr="008649DE">
                              <w:rPr>
                                <w:color w:val="4D4D4C"/>
                                <w:lang w:val="en-US"/>
                              </w:rPr>
                              <w:t>Tel. +49 (0)711 97676-</w:t>
                            </w:r>
                            <w:r>
                              <w:rPr>
                                <w:color w:val="4D4D4C"/>
                                <w:lang w:val="en-US"/>
                              </w:rPr>
                              <w:t>620</w:t>
                            </w:r>
                            <w:r w:rsidRPr="008649DE">
                              <w:rPr>
                                <w:color w:val="4D4D4C"/>
                                <w:lang w:val="en-US"/>
                              </w:rPr>
                              <w:br/>
                              <w:t>Fax: +49 (0)711 97676-</w:t>
                            </w:r>
                            <w:r>
                              <w:rPr>
                                <w:color w:val="4D4D4C"/>
                                <w:lang w:val="en-US"/>
                              </w:rPr>
                              <w:t>609</w:t>
                            </w:r>
                          </w:p>
                          <w:p w14:paraId="4407054A" w14:textId="77777777" w:rsidR="00094EFE" w:rsidRPr="008649DE" w:rsidRDefault="00094EFE" w:rsidP="00094EFE">
                            <w:pPr>
                              <w:pStyle w:val="Titel"/>
                              <w:rPr>
                                <w:color w:val="4D4D4C"/>
                                <w:lang w:val="en-US"/>
                              </w:rPr>
                            </w:pPr>
                            <w:r>
                              <w:rPr>
                                <w:color w:val="4D4D4C"/>
                                <w:lang w:val="en-US"/>
                              </w:rPr>
                              <w:t>frank.reichert</w:t>
                            </w:r>
                            <w:r w:rsidRPr="008649DE">
                              <w:rPr>
                                <w:color w:val="4D4D4C"/>
                                <w:lang w:val="en-US"/>
                              </w:rPr>
                              <w:t>@gtue.de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790251C" id="_x0000_t202" coordsize="21600,21600" o:spt="202" path="m,l,21600r21600,l21600,xe">
                <v:stroke joinstyle="miter"/>
                <v:path gradientshapeok="t" o:connecttype="rect"/>
              </v:shapetype>
              <v:shape id="Textfeld 5" o:spid="_x0000_s1026" type="#_x0000_t202" style="position:absolute;margin-left:360.35pt;margin-top:-137.75pt;width:164.75pt;height:146.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" filled="f" stroked="f" strokeweight=".5pt">
                <v:textbox>
                  <w:txbxContent>
                    <w:p w14:paraId="2AB3B5B8" w14:textId="400B60A8" w:rsidR="00094EFE" w:rsidRPr="00FB6CCA" w:rsidRDefault="006131AB" w:rsidP="00094EFE">
                      <w:pPr>
                        <w:pStyle w:val="Titel"/>
                        <w:rPr>
                          <w:color w:val="4D4D4C"/>
                        </w:rPr>
                      </w:pPr>
                      <w:r w:rsidRPr="006131AB">
                        <w:rPr>
                          <w:color w:val="4D4D4C"/>
                        </w:rPr>
                        <w:t>2</w:t>
                      </w:r>
                      <w:r w:rsidR="00B066FC">
                        <w:rPr>
                          <w:color w:val="4D4D4C"/>
                        </w:rPr>
                        <w:t>5</w:t>
                      </w:r>
                      <w:r w:rsidR="00094EFE" w:rsidRPr="006131AB">
                        <w:rPr>
                          <w:color w:val="4D4D4C"/>
                        </w:rPr>
                        <w:t xml:space="preserve">. </w:t>
                      </w:r>
                      <w:r w:rsidR="00E76CFA" w:rsidRPr="006131AB">
                        <w:rPr>
                          <w:color w:val="4D4D4C"/>
                        </w:rPr>
                        <w:t>Oktober</w:t>
                      </w:r>
                      <w:r w:rsidR="00094EFE" w:rsidRPr="006131AB">
                        <w:rPr>
                          <w:color w:val="4D4D4C"/>
                        </w:rPr>
                        <w:t xml:space="preserve"> 2022</w:t>
                      </w:r>
                    </w:p>
                    <w:p w14:paraId="4B4F0F1D" w14:textId="77777777" w:rsidR="00094EFE" w:rsidRPr="00436749" w:rsidRDefault="00094EFE" w:rsidP="00094EFE">
                      <w:pPr>
                        <w:pStyle w:val="berschrift2"/>
                      </w:pPr>
                      <w:r w:rsidRPr="00436749">
                        <w:t xml:space="preserve">Pressemitteilung </w:t>
                      </w:r>
                    </w:p>
                    <w:p w14:paraId="33039903" w14:textId="77777777" w:rsidR="00094EFE" w:rsidRPr="00FB6CCA" w:rsidRDefault="00094EFE" w:rsidP="00094EFE">
                      <w:pPr>
                        <w:rPr>
                          <w:color w:val="4D4D4C"/>
                          <w:sz w:val="16"/>
                          <w:szCs w:val="16"/>
                        </w:rPr>
                      </w:pPr>
                      <w:r w:rsidRPr="00FB6CCA">
                        <w:rPr>
                          <w:color w:val="4D4D4C"/>
                        </w:rPr>
                        <w:t>Ihr Ansprechpartner</w:t>
                      </w:r>
                      <w:r w:rsidRPr="00FB6CCA">
                        <w:rPr>
                          <w:color w:val="4D4D4C"/>
                        </w:rPr>
                        <w:br/>
                      </w:r>
                      <w:r>
                        <w:rPr>
                          <w:color w:val="4D4D4C"/>
                        </w:rPr>
                        <w:t>Frank Reichert</w:t>
                      </w:r>
                      <w:r w:rsidRPr="00FB6CCA">
                        <w:rPr>
                          <w:color w:val="4D4D4C"/>
                        </w:rPr>
                        <w:br/>
                      </w:r>
                      <w:r>
                        <w:rPr>
                          <w:color w:val="4D4D4C"/>
                          <w:sz w:val="16"/>
                          <w:szCs w:val="16"/>
                        </w:rPr>
                        <w:t>Leiter Unternehmenskommunikation</w:t>
                      </w:r>
                    </w:p>
                    <w:p w14:paraId="2C11DAE3" w14:textId="77777777" w:rsidR="00094EFE" w:rsidRPr="008649DE" w:rsidRDefault="00094EFE" w:rsidP="00094EFE">
                      <w:pPr>
                        <w:rPr>
                          <w:color w:val="4D4D4C"/>
                          <w:lang w:val="en-US"/>
                        </w:rPr>
                      </w:pPr>
                      <w:r w:rsidRPr="008649DE">
                        <w:rPr>
                          <w:color w:val="4D4D4C"/>
                          <w:lang w:val="en-US"/>
                        </w:rPr>
                        <w:t>Tel. +49 (0)711 97676-</w:t>
                      </w:r>
                      <w:r>
                        <w:rPr>
                          <w:color w:val="4D4D4C"/>
                          <w:lang w:val="en-US"/>
                        </w:rPr>
                        <w:t>620</w:t>
                      </w:r>
                      <w:r w:rsidRPr="008649DE">
                        <w:rPr>
                          <w:color w:val="4D4D4C"/>
                          <w:lang w:val="en-US"/>
                        </w:rPr>
                        <w:br/>
                        <w:t>Fax: +49 (0)711 97676-</w:t>
                      </w:r>
                      <w:r>
                        <w:rPr>
                          <w:color w:val="4D4D4C"/>
                          <w:lang w:val="en-US"/>
                        </w:rPr>
                        <w:t>609</w:t>
                      </w:r>
                    </w:p>
                    <w:p w14:paraId="4407054A" w14:textId="77777777" w:rsidR="00094EFE" w:rsidRPr="008649DE" w:rsidRDefault="00094EFE" w:rsidP="00094EFE">
                      <w:pPr>
                        <w:pStyle w:val="Titel"/>
                        <w:rPr>
                          <w:color w:val="4D4D4C"/>
                          <w:lang w:val="en-US"/>
                        </w:rPr>
                      </w:pPr>
                      <w:r>
                        <w:rPr>
                          <w:color w:val="4D4D4C"/>
                          <w:lang w:val="en-US"/>
                        </w:rPr>
                        <w:t>frank.reichert</w:t>
                      </w:r>
                      <w:r w:rsidRPr="008649DE">
                        <w:rPr>
                          <w:color w:val="4D4D4C"/>
                          <w:lang w:val="en-US"/>
                        </w:rPr>
                        <w:t>@gtue.de</w:t>
                      </w:r>
                    </w:p>
                  </w:txbxContent>
                </v:textbox>
              </v:shape>
            </w:pict>
          </mc:Fallback>
        </mc:AlternateContent>
      </w:r>
    </w:p>
    <w:p w14:paraId="542D2230" w14:textId="391B844D" w:rsidR="00094EFE" w:rsidRDefault="00E76CFA" w:rsidP="00094EFE">
      <w:pPr>
        <w:spacing w:line="400" w:lineRule="exact"/>
        <w:ind w:right="2120"/>
        <w:rPr>
          <w:rStyle w:val="berschrift1Zchn"/>
          <w:rFonts w:eastAsia="Calibri"/>
        </w:rPr>
      </w:pPr>
      <w:r w:rsidRPr="00616483">
        <w:rPr>
          <w:rStyle w:val="berschrift1Zchn"/>
          <w:rFonts w:eastAsia="Calibri"/>
        </w:rPr>
        <w:t xml:space="preserve">Umfassende Kooperation: E-Mobility-Services von e-mobilio für </w:t>
      </w:r>
      <w:r>
        <w:rPr>
          <w:rStyle w:val="berschrift1Zchn"/>
          <w:rFonts w:eastAsia="Calibri"/>
        </w:rPr>
        <w:t>Privat- und Geschäftskunden</w:t>
      </w:r>
    </w:p>
    <w:p w14:paraId="62856F51" w14:textId="77777777" w:rsidR="00094EFE" w:rsidRDefault="00094EFE" w:rsidP="00094EFE">
      <w:pPr>
        <w:spacing w:line="400" w:lineRule="exact"/>
        <w:ind w:right="2120"/>
        <w:rPr>
          <w:rStyle w:val="berschrift1Zchn"/>
          <w:rFonts w:eastAsia="Calibri"/>
        </w:rPr>
      </w:pPr>
    </w:p>
    <w:p w14:paraId="7AD44571" w14:textId="52B3FBF0" w:rsidR="00E76CFA" w:rsidRDefault="00E76CFA" w:rsidP="00E76CFA">
      <w:pPr>
        <w:pStyle w:val="Aufzhlung"/>
        <w:ind w:right="2120"/>
      </w:pPr>
      <w:r>
        <w:t xml:space="preserve">Der </w:t>
      </w:r>
      <w:r w:rsidRPr="00616483">
        <w:t>360</w:t>
      </w:r>
      <w:r>
        <w:rPr>
          <w:rFonts w:cs="Arial"/>
        </w:rPr>
        <w:t>-Grad-</w:t>
      </w:r>
      <w:r w:rsidRPr="00616483">
        <w:t>E-Mobilitäts</w:t>
      </w:r>
      <w:r>
        <w:t>berater</w:t>
      </w:r>
      <w:r w:rsidRPr="00616483">
        <w:t xml:space="preserve"> </w:t>
      </w:r>
      <w:r>
        <w:t xml:space="preserve">bietet ein umfangreiches Leistungsangebot zu allen Themen rund um </w:t>
      </w:r>
      <w:r w:rsidRPr="00182AA5">
        <w:t>E</w:t>
      </w:r>
      <w:r w:rsidR="00407204">
        <w:t>lektrom</w:t>
      </w:r>
      <w:r w:rsidRPr="00182AA5">
        <w:t>obilität</w:t>
      </w:r>
    </w:p>
    <w:p w14:paraId="3C78FFF4" w14:textId="43A98C48" w:rsidR="00E76CFA" w:rsidRDefault="00E76CFA" w:rsidP="00E76CFA">
      <w:pPr>
        <w:pStyle w:val="Aufzhlung"/>
        <w:ind w:right="2120"/>
      </w:pPr>
      <w:r>
        <w:t>Besitzer von Elektrofahrzeugen profitieren schnell und unkompliziert vom attraktiven CO</w:t>
      </w:r>
      <w:r w:rsidRPr="002C5F69">
        <w:rPr>
          <w:vertAlign w:val="subscript"/>
        </w:rPr>
        <w:t>2</w:t>
      </w:r>
      <w:r>
        <w:t>-Bonus (THQ-Quote)</w:t>
      </w:r>
    </w:p>
    <w:p w14:paraId="015EA929" w14:textId="3AF09D8D" w:rsidR="00094EFE" w:rsidRPr="002E1D32" w:rsidRDefault="00E76CFA" w:rsidP="00E76CFA">
      <w:pPr>
        <w:pStyle w:val="Aufzhlung"/>
        <w:ind w:right="2120"/>
      </w:pPr>
      <w:r w:rsidRPr="00616483">
        <w:t>GTÜ-P</w:t>
      </w:r>
      <w:r>
        <w:t>rüfstellen</w:t>
      </w:r>
      <w:r w:rsidRPr="00616483">
        <w:t xml:space="preserve"> erhalten ein maßgeschneidertes Konzept zur </w:t>
      </w:r>
      <w:r>
        <w:t>Einrichtung einer Ladeinfrastruktur</w:t>
      </w:r>
    </w:p>
    <w:p w14:paraId="278C4A1C" w14:textId="77777777" w:rsidR="00094EFE" w:rsidRDefault="00094EFE" w:rsidP="00094EFE">
      <w:pPr>
        <w:spacing w:line="400" w:lineRule="exact"/>
        <w:ind w:right="2120"/>
        <w:rPr>
          <w:lang w:eastAsia="de-DE"/>
        </w:rPr>
      </w:pPr>
    </w:p>
    <w:p w14:paraId="2345F048" w14:textId="496F85BF" w:rsidR="00E76CFA" w:rsidRDefault="00094EFE" w:rsidP="00E76CFA">
      <w:pPr>
        <w:ind w:right="2120"/>
      </w:pPr>
      <w:r w:rsidRPr="00832E68">
        <w:rPr>
          <w:color w:val="C6243C"/>
        </w:rPr>
        <w:t xml:space="preserve">__ </w:t>
      </w:r>
      <w:r w:rsidRPr="003B2E9A">
        <w:t>Stuttgart</w:t>
      </w:r>
      <w:r w:rsidR="00E76CFA">
        <w:t>/München</w:t>
      </w:r>
      <w:r w:rsidR="00E76CFA" w:rsidRPr="003B2E9A">
        <w:t xml:space="preserve">. </w:t>
      </w:r>
      <w:r w:rsidR="00E76CFA">
        <w:t xml:space="preserve">Die GTÜ Gesellschaft für Technische Überwachung mbH fördert den Zugang von Privat- und Gewerbekunden sowie ihrer Partner zur Elektromobilität sowie damit einhergehender modularer Beratungs- und Zusatzleistungen. Die Prüforganisation kooperiert dafür mit den E-Mobility-Experten von </w:t>
      </w:r>
      <w:r w:rsidR="00E76CFA">
        <w:br/>
        <w:t>e-mobilio bei allen wichtigen Aspekten des Wachstumsmarkts Elektromobilität.</w:t>
      </w:r>
    </w:p>
    <w:p w14:paraId="44F39623" w14:textId="36DA5D25" w:rsidR="0049281F" w:rsidRDefault="00E76CFA" w:rsidP="00E76CFA">
      <w:pPr>
        <w:ind w:right="2120"/>
      </w:pPr>
      <w:r w:rsidRPr="00832E68">
        <w:rPr>
          <w:color w:val="C6243C"/>
        </w:rPr>
        <w:t xml:space="preserve">__ </w:t>
      </w:r>
      <w:r>
        <w:t>Rund 687.000 Elektroautos sind derzeit in Deutschland zugelassen, Tendenz steigend. Damit verbunden ist ein wachsender Bedarf an Ladeinfrastruktur. Gerade für Anbieter autobezogener Dienstleistungen wie etwa Reparaturen oder Kundendienst wird es daher in Zukunft immer wichtiger, geeignete Lademöglichkeiten an den eigenen Standorten zu bieten. Die GTÜ unterstützt die Ausstattung von Prüfstellen mit einer Ladeinfrastruktur und setzt dafür auf das Expertenwissen von e-mobilio.</w:t>
      </w:r>
      <w:r w:rsidRPr="00E76CFA">
        <w:t xml:space="preserve"> </w:t>
      </w:r>
      <w:r>
        <w:t>Die Expertise von e-mobilio beruht</w:t>
      </w:r>
    </w:p>
    <w:p w14:paraId="4FD39B46" w14:textId="77777777" w:rsidR="00832E68" w:rsidRPr="00832E68" w:rsidRDefault="00832E68" w:rsidP="00832E68">
      <w:pPr>
        <w:ind w:right="2120"/>
        <w:rPr>
          <w:color w:val="555555"/>
        </w:rPr>
        <w:sectPr w:rsidR="00832E68" w:rsidRPr="00832E68" w:rsidSect="00832E68">
          <w:headerReference w:type="first" r:id="rId8"/>
          <w:type w:val="continuous"/>
          <w:pgSz w:w="11900" w:h="16840"/>
          <w:pgMar w:top="5632" w:right="1418" w:bottom="1134" w:left="1418" w:header="624" w:footer="1701" w:gutter="0"/>
          <w:pgNumType w:start="2"/>
          <w:cols w:space="708"/>
          <w:titlePg/>
          <w:docGrid w:linePitch="360"/>
        </w:sectPr>
      </w:pPr>
    </w:p>
    <w:p w14:paraId="0BD9A4F8" w14:textId="72343073" w:rsidR="00E76CFA" w:rsidRDefault="00E76CFA" w:rsidP="00E76CFA">
      <w:pPr>
        <w:ind w:right="1978"/>
      </w:pPr>
      <w:r>
        <w:lastRenderedPageBreak/>
        <w:t>auf mehr als 70.000 erfolgreich abgeschlossenen digitalen Kaufberatungen für Elektromobilität.</w:t>
      </w:r>
    </w:p>
    <w:p w14:paraId="4C8BD2C6" w14:textId="6B73E576" w:rsidR="00E76CFA" w:rsidRPr="00923F25" w:rsidRDefault="00E76CFA" w:rsidP="00E76CFA">
      <w:pPr>
        <w:ind w:right="1978"/>
        <w:rPr>
          <w:b/>
          <w:bCs/>
        </w:rPr>
      </w:pPr>
      <w:r w:rsidRPr="00923F25">
        <w:rPr>
          <w:b/>
          <w:bCs/>
        </w:rPr>
        <w:t xml:space="preserve">E-Mobilitätsberater </w:t>
      </w:r>
      <w:r>
        <w:rPr>
          <w:b/>
          <w:bCs/>
        </w:rPr>
        <w:t>für Privat- und Geschäftskunden</w:t>
      </w:r>
    </w:p>
    <w:p w14:paraId="2B21D5B1" w14:textId="3DF19593" w:rsidR="00E76CFA" w:rsidRDefault="00E76CFA" w:rsidP="00E76CFA">
      <w:pPr>
        <w:ind w:right="2120"/>
      </w:pPr>
      <w:r w:rsidRPr="00832E68">
        <w:rPr>
          <w:color w:val="C6243C"/>
        </w:rPr>
        <w:t xml:space="preserve">__ </w:t>
      </w:r>
      <w:r>
        <w:t xml:space="preserve">Neben dem Ausbau der Ladeinfrastruktur an den Standorten erweitert die Kooperation mit e-mobilio das Beratungsangebot der GTÜ rund um Fragen der Elektromobilität von Privat- und Geschäftskunden. Die Prüforganisation bietet ihnen ab sofort den umfassenden und modular aufgebauten </w:t>
      </w:r>
      <w:hyperlink r:id="rId9" w:history="1">
        <w:r w:rsidRPr="007308F8">
          <w:rPr>
            <w:rStyle w:val="Hyperlink"/>
          </w:rPr>
          <w:t>digitalen 360-Grad-E-Mobilitätsberater</w:t>
        </w:r>
      </w:hyperlink>
      <w:r>
        <w:t>.</w:t>
      </w:r>
    </w:p>
    <w:p w14:paraId="4C0FA005" w14:textId="77777777" w:rsidR="00E76CFA" w:rsidRDefault="00E76CFA" w:rsidP="00E76CFA">
      <w:pPr>
        <w:ind w:right="2120"/>
      </w:pPr>
      <w:r>
        <w:t>Die Lösung umfasst:</w:t>
      </w:r>
    </w:p>
    <w:p w14:paraId="0E7ACCEA" w14:textId="77777777" w:rsidR="00E76CFA" w:rsidRPr="004D414B" w:rsidRDefault="00E76CFA" w:rsidP="004D414B">
      <w:pPr>
        <w:pStyle w:val="Aufzhlung"/>
        <w:ind w:left="357" w:right="2120" w:hanging="357"/>
        <w:rPr>
          <w:b w:val="0"/>
          <w:bCs/>
        </w:rPr>
      </w:pPr>
      <w:r w:rsidRPr="004D414B">
        <w:rPr>
          <w:b w:val="0"/>
          <w:bCs/>
        </w:rPr>
        <w:t>Suche nach passenden Elektro- oder Hybridfahrzeugen</w:t>
      </w:r>
    </w:p>
    <w:p w14:paraId="1813F278" w14:textId="77777777" w:rsidR="00E76CFA" w:rsidRPr="004D414B" w:rsidRDefault="00E76CFA" w:rsidP="004D414B">
      <w:pPr>
        <w:pStyle w:val="Aufzhlung"/>
        <w:ind w:left="357" w:right="2120" w:hanging="357"/>
        <w:rPr>
          <w:b w:val="0"/>
          <w:bCs/>
        </w:rPr>
      </w:pPr>
      <w:r w:rsidRPr="004D414B">
        <w:rPr>
          <w:b w:val="0"/>
          <w:bCs/>
        </w:rPr>
        <w:t>Auswahl geeigneter Wallboxen</w:t>
      </w:r>
    </w:p>
    <w:p w14:paraId="5049A7AE" w14:textId="77777777" w:rsidR="00E76CFA" w:rsidRPr="004D414B" w:rsidRDefault="00E76CFA" w:rsidP="004D414B">
      <w:pPr>
        <w:pStyle w:val="Aufzhlung"/>
        <w:ind w:left="357" w:right="2120" w:hanging="357"/>
        <w:rPr>
          <w:b w:val="0"/>
          <w:bCs/>
        </w:rPr>
      </w:pPr>
      <w:r w:rsidRPr="004D414B">
        <w:rPr>
          <w:b w:val="0"/>
          <w:bCs/>
        </w:rPr>
        <w:t>Installationsberatung (digital oder vor-Ort)</w:t>
      </w:r>
    </w:p>
    <w:p w14:paraId="34B29FFE" w14:textId="77777777" w:rsidR="00E76CFA" w:rsidRPr="004D414B" w:rsidRDefault="00E76CFA" w:rsidP="004D414B">
      <w:pPr>
        <w:pStyle w:val="Aufzhlung"/>
        <w:ind w:left="357" w:right="2120" w:hanging="357"/>
        <w:rPr>
          <w:b w:val="0"/>
          <w:bCs/>
        </w:rPr>
      </w:pPr>
      <w:r w:rsidRPr="004D414B">
        <w:rPr>
          <w:b w:val="0"/>
          <w:bCs/>
        </w:rPr>
        <w:t>Installationsservice</w:t>
      </w:r>
    </w:p>
    <w:p w14:paraId="43B0AEB0" w14:textId="77777777" w:rsidR="00E76CFA" w:rsidRPr="004D414B" w:rsidRDefault="00E76CFA" w:rsidP="004D414B">
      <w:pPr>
        <w:pStyle w:val="Aufzhlung"/>
        <w:ind w:left="357" w:right="2120" w:hanging="357"/>
        <w:rPr>
          <w:b w:val="0"/>
          <w:bCs/>
        </w:rPr>
      </w:pPr>
      <w:r w:rsidRPr="004D414B">
        <w:rPr>
          <w:b w:val="0"/>
          <w:bCs/>
        </w:rPr>
        <w:t>Beratung zu Photovoltaikanlagen und Fördermitteln</w:t>
      </w:r>
    </w:p>
    <w:p w14:paraId="6C2A607D" w14:textId="77777777" w:rsidR="00E76CFA" w:rsidRDefault="00E76CFA" w:rsidP="00E76CFA">
      <w:pPr>
        <w:pStyle w:val="Listenabsatz"/>
        <w:ind w:left="0" w:right="2120"/>
      </w:pPr>
    </w:p>
    <w:p w14:paraId="30C49159" w14:textId="77777777" w:rsidR="00E76CFA" w:rsidRPr="00923F25" w:rsidRDefault="00E76CFA" w:rsidP="00E76CFA">
      <w:pPr>
        <w:ind w:right="2120"/>
        <w:rPr>
          <w:b/>
          <w:bCs/>
        </w:rPr>
      </w:pPr>
      <w:r>
        <w:rPr>
          <w:b/>
          <w:bCs/>
        </w:rPr>
        <w:t>I</w:t>
      </w:r>
      <w:r w:rsidRPr="00923F25">
        <w:rPr>
          <w:b/>
          <w:bCs/>
        </w:rPr>
        <w:t>n wenigen Klicks zu</w:t>
      </w:r>
      <w:r>
        <w:rPr>
          <w:b/>
          <w:bCs/>
        </w:rPr>
        <w:t>m CO</w:t>
      </w:r>
      <w:r w:rsidRPr="002C5F69">
        <w:rPr>
          <w:b/>
          <w:bCs/>
          <w:vertAlign w:val="subscript"/>
        </w:rPr>
        <w:t>2</w:t>
      </w:r>
      <w:r>
        <w:rPr>
          <w:b/>
          <w:bCs/>
        </w:rPr>
        <w:t>-Bonus (THG-Quote)</w:t>
      </w:r>
    </w:p>
    <w:p w14:paraId="0008D994" w14:textId="03E93FB7" w:rsidR="00E76CFA" w:rsidRDefault="00E76CFA" w:rsidP="00E76CFA">
      <w:pPr>
        <w:ind w:right="2120"/>
      </w:pPr>
      <w:r w:rsidRPr="00832E68">
        <w:rPr>
          <w:color w:val="C6243C"/>
        </w:rPr>
        <w:t xml:space="preserve">__ </w:t>
      </w:r>
      <w:r>
        <w:t>Der dritte Baustein der Partnerschaft umfasst die CO</w:t>
      </w:r>
      <w:r w:rsidRPr="00C078DB">
        <w:rPr>
          <w:vertAlign w:val="subscript"/>
        </w:rPr>
        <w:t>2</w:t>
      </w:r>
      <w:r w:rsidR="009A1391">
        <w:t>-</w:t>
      </w:r>
      <w:r>
        <w:t xml:space="preserve">Bonus-Plattform, die direkt unter </w:t>
      </w:r>
      <w:hyperlink r:id="rId10" w:history="1">
        <w:r w:rsidR="00D83E08" w:rsidRPr="00D83E08">
          <w:rPr>
            <w:rStyle w:val="Hyperlink"/>
          </w:rPr>
          <w:t>gtue.co2.auto</w:t>
        </w:r>
      </w:hyperlink>
      <w:r w:rsidR="00D83E08">
        <w:t xml:space="preserve"> </w:t>
      </w:r>
      <w:hyperlink w:history="1"/>
      <w:r w:rsidR="00D83E08">
        <w:t>e</w:t>
      </w:r>
      <w:r>
        <w:t xml:space="preserve">rreichbar ist. So können Besitzer eines Elektrofahrzeugs oder einer öffentlichen Ladestation ganz einfach den Verkauf ihrer Treibhausgasminderungsquote (THG-Quote) über einen Link beantragen, den sie von ihrer GTÜ-Prüfstelle vor Ort oder direkt über die GTÜ-Website erhalten. Die notwendige Bürokratie wird auf ein Minimum reduziert: E-Auto-Halter schöpfen die Fördermöglichkeiten voll aus, </w:t>
      </w:r>
      <w:r w:rsidR="009A1391">
        <w:t xml:space="preserve">und </w:t>
      </w:r>
      <w:r>
        <w:t xml:space="preserve">die Auszahlung erfolgt meist innerhalb von 14 Tagen nach der Bestätigung durch das </w:t>
      </w:r>
      <w:r w:rsidR="001711DA">
        <w:t>U</w:t>
      </w:r>
      <w:r>
        <w:t>mwelt</w:t>
      </w:r>
      <w:r w:rsidR="001711DA">
        <w:t>bundes</w:t>
      </w:r>
      <w:r>
        <w:t>amt. Auch das rundet die Beratungsleistung der GTÜ-Prüfstellen ab.</w:t>
      </w:r>
    </w:p>
    <w:p w14:paraId="6E8FB8DD" w14:textId="56414DAE" w:rsidR="00E76CFA" w:rsidRDefault="00E76CFA" w:rsidP="00E76CFA">
      <w:pPr>
        <w:ind w:right="2120"/>
      </w:pPr>
      <w:r w:rsidRPr="00832E68">
        <w:rPr>
          <w:color w:val="C6243C"/>
        </w:rPr>
        <w:t xml:space="preserve">__ </w:t>
      </w:r>
      <w:r>
        <w:t xml:space="preserve">„e-mobilio als kompetenter und bestens in der Automobilbranche verankerter Partner deckt dabei hervorragend und umfangreich die gesamte Prozesskette des sehr heterogenen Ökosystems der Elektrifizierung von Kraftfahrzeugen ab“, begründet </w:t>
      </w:r>
      <w:r w:rsidR="003C7DD4">
        <w:t>Thomas Emmert</w:t>
      </w:r>
      <w:r>
        <w:t>, Geschäftsführer der GTÜ, die Entscheidung.</w:t>
      </w:r>
    </w:p>
    <w:p w14:paraId="1AB3D5AC" w14:textId="306F89FF" w:rsidR="00E76CFA" w:rsidRDefault="00E76CFA" w:rsidP="00E76CFA">
      <w:pPr>
        <w:ind w:right="2120"/>
      </w:pPr>
      <w:r w:rsidRPr="00832E68">
        <w:rPr>
          <w:color w:val="C6243C"/>
        </w:rPr>
        <w:t xml:space="preserve">__ </w:t>
      </w:r>
      <w:r>
        <w:t>„Seit jeher setz</w:t>
      </w:r>
      <w:r w:rsidR="0069776A">
        <w:t>t</w:t>
      </w:r>
      <w:r>
        <w:t xml:space="preserve"> </w:t>
      </w:r>
      <w:r w:rsidR="0069776A">
        <w:t xml:space="preserve">e-mobilio </w:t>
      </w:r>
      <w:r>
        <w:t>darauf, alle Facetten der E-Mobilität abzudecken</w:t>
      </w:r>
      <w:r w:rsidR="00414B78">
        <w:t xml:space="preserve">. Höchste Qualität ist unser Ziel. Sie zeigt sich beispielsweise </w:t>
      </w:r>
      <w:r w:rsidR="0069776A">
        <w:t xml:space="preserve">auch </w:t>
      </w:r>
      <w:r w:rsidR="00414B78">
        <w:t>daran, dass u</w:t>
      </w:r>
      <w:r w:rsidR="00414B78" w:rsidRPr="00414B78">
        <w:t xml:space="preserve">nser Schwesterunternehmen </w:t>
      </w:r>
      <w:r w:rsidR="003D04B1" w:rsidRPr="003D04B1">
        <w:t>c02.auto</w:t>
      </w:r>
      <w:r w:rsidR="00414B78" w:rsidRPr="00414B78">
        <w:t xml:space="preserve"> GmbH </w:t>
      </w:r>
      <w:r w:rsidR="00414B78">
        <w:t xml:space="preserve">in einer Bewertung des Magazins ‚Finanztest‘ das einzige </w:t>
      </w:r>
      <w:r w:rsidR="00414B78" w:rsidRPr="00414B78">
        <w:t xml:space="preserve">von 36 </w:t>
      </w:r>
      <w:r w:rsidR="00414B78">
        <w:t xml:space="preserve">Unternehmen des </w:t>
      </w:r>
      <w:r w:rsidR="00414B78" w:rsidRPr="00414B78">
        <w:t>THG-Quotenhandel</w:t>
      </w:r>
      <w:r w:rsidR="00414B78">
        <w:t xml:space="preserve">s ist, das </w:t>
      </w:r>
      <w:r w:rsidR="00414B78" w:rsidRPr="00414B78">
        <w:t xml:space="preserve">keinerlei Mängel </w:t>
      </w:r>
      <w:r w:rsidR="00E03880">
        <w:t>in</w:t>
      </w:r>
      <w:r w:rsidR="00414B78" w:rsidRPr="00414B78">
        <w:t xml:space="preserve"> der Datenschutzerklärung aufweist</w:t>
      </w:r>
      <w:r>
        <w:t xml:space="preserve">“, erläutert e-mobilio-Geschäftsführer Ralph Missy. „Dass sich mit der GTÜ die größte amtlich anerkannte Überwachungsorganisation </w:t>
      </w:r>
      <w:r>
        <w:lastRenderedPageBreak/>
        <w:t>freiberuflicher Kfz-Sachverständiger für uns als empfohlener Kooperationspartner entschieden hat, macht uns sehr stolz.“</w:t>
      </w:r>
    </w:p>
    <w:p w14:paraId="0018F171" w14:textId="77777777" w:rsidR="00E76CFA" w:rsidRPr="00923F25" w:rsidRDefault="00E76CFA" w:rsidP="00E76CFA">
      <w:pPr>
        <w:ind w:right="2120"/>
        <w:rPr>
          <w:b/>
          <w:bCs/>
        </w:rPr>
      </w:pPr>
      <w:r w:rsidRPr="00923F25">
        <w:rPr>
          <w:b/>
          <w:bCs/>
        </w:rPr>
        <w:t xml:space="preserve">Über e-mobilio </w:t>
      </w:r>
    </w:p>
    <w:p w14:paraId="0323F637" w14:textId="3E96D447" w:rsidR="00094EFE" w:rsidRDefault="00E76CFA" w:rsidP="00E76CFA">
      <w:pPr>
        <w:ind w:right="2120"/>
      </w:pPr>
      <w:r w:rsidRPr="00832E68">
        <w:rPr>
          <w:color w:val="C6243C"/>
        </w:rPr>
        <w:t xml:space="preserve">__ </w:t>
      </w:r>
      <w:r>
        <w:t>e-mobilio ist Anbieter eines vollumfänglichen Ökosystems für Elektromobilität, das als schlüsselfertige Software-as-a-Service-Lösung lizenziert und in die eigene Webseite integriert werden kann. Gewerbliche Kunden unterstützt e-mobilio mit einem maßgeschneiderten Beratungspaket Charge4Business. Mit seinen Lösungen verfolgt das Münchner E-Mobility-Unternehmen die Mission, die Komplexität der Elektromobilität zu reduzieren und damit einen Beitrag für ein stärkeres Marktwachstum und die Erreichung der Klimaschutzziele im Mobilitätssektor zu leisten</w:t>
      </w:r>
      <w:r w:rsidR="00DB4F09">
        <w:t xml:space="preserve">. </w:t>
      </w:r>
      <w:r>
        <w:t xml:space="preserve">e-mobilio wird vom Bundesministerium für Wirtschaft und Energie gefördert. Mehr Informationen unter </w:t>
      </w:r>
      <w:hyperlink r:id="rId11" w:history="1">
        <w:r w:rsidRPr="003E189F">
          <w:rPr>
            <w:rStyle w:val="Hyperlink"/>
          </w:rPr>
          <w:t>www.e-mobilio.de</w:t>
        </w:r>
      </w:hyperlink>
      <w:r>
        <w:t>.</w:t>
      </w:r>
    </w:p>
    <w:p w14:paraId="41BFD926" w14:textId="16265F47" w:rsidR="00FB6CCA" w:rsidRPr="00832E68" w:rsidRDefault="00FB6CCA" w:rsidP="00FB6CCA">
      <w:pPr>
        <w:ind w:right="2120"/>
      </w:pPr>
    </w:p>
    <w:p w14:paraId="77FA5AF2" w14:textId="77777777" w:rsidR="00832E68" w:rsidRPr="0049281F" w:rsidRDefault="00832E68" w:rsidP="00FB6CCA"/>
    <w:p w14:paraId="5A7FF571" w14:textId="77777777" w:rsidR="00832E68" w:rsidRPr="0049281F" w:rsidRDefault="00832E68" w:rsidP="0049281F">
      <w:pPr>
        <w:ind w:right="2120"/>
      </w:pPr>
    </w:p>
    <w:p w14:paraId="148C7C4C" w14:textId="77777777" w:rsidR="00FB6CCA" w:rsidRDefault="00FB6CCA" w:rsidP="0049281F">
      <w:pPr>
        <w:ind w:right="2120"/>
      </w:pPr>
    </w:p>
    <w:p w14:paraId="038AD615" w14:textId="159E5A1C" w:rsidR="00832E68" w:rsidRDefault="00832E68" w:rsidP="0049281F">
      <w:pPr>
        <w:ind w:right="2120"/>
      </w:pPr>
    </w:p>
    <w:p w14:paraId="76F3B206" w14:textId="7E017674" w:rsidR="00CE2302" w:rsidRDefault="00CE2302" w:rsidP="0049281F">
      <w:pPr>
        <w:ind w:right="2120"/>
      </w:pPr>
    </w:p>
    <w:p w14:paraId="192A3E19" w14:textId="049D0599" w:rsidR="00CE2302" w:rsidRDefault="00CE2302" w:rsidP="0049281F">
      <w:pPr>
        <w:ind w:right="2120"/>
      </w:pPr>
    </w:p>
    <w:p w14:paraId="5F2951AC" w14:textId="77777777" w:rsidR="00CE2302" w:rsidRDefault="00CE2302" w:rsidP="0049281F">
      <w:pPr>
        <w:ind w:right="2120"/>
      </w:pPr>
    </w:p>
    <w:p w14:paraId="3C8A12A9" w14:textId="77777777" w:rsidR="008649DE" w:rsidRPr="0049281F" w:rsidRDefault="008649DE" w:rsidP="0049281F">
      <w:pPr>
        <w:ind w:right="2120"/>
      </w:pPr>
    </w:p>
    <w:p w14:paraId="17FABD28" w14:textId="77777777" w:rsidR="00832E68" w:rsidRPr="0049281F" w:rsidRDefault="00832E68" w:rsidP="0049281F">
      <w:pPr>
        <w:ind w:right="2120"/>
      </w:pPr>
    </w:p>
    <w:p w14:paraId="09376EA4" w14:textId="77777777" w:rsidR="00832E68" w:rsidRPr="00424EA3" w:rsidRDefault="00832E68" w:rsidP="0049281F">
      <w:pPr>
        <w:ind w:right="2120"/>
        <w:rPr>
          <w:rFonts w:cs="Arial"/>
          <w:b/>
          <w:bCs/>
          <w:sz w:val="16"/>
          <w:szCs w:val="16"/>
        </w:rPr>
      </w:pPr>
      <w:r w:rsidRPr="00424EA3">
        <w:rPr>
          <w:rFonts w:cs="Arial"/>
          <w:b/>
          <w:bCs/>
          <w:sz w:val="16"/>
          <w:szCs w:val="16"/>
        </w:rPr>
        <w:t>Die Gesellschaft für Technische Überwachung mbH (GTÜ)</w:t>
      </w:r>
    </w:p>
    <w:p w14:paraId="2E9C4B84" w14:textId="77777777" w:rsidR="00832E68" w:rsidRPr="00424EA3" w:rsidRDefault="00832E68" w:rsidP="00832E68">
      <w:pPr>
        <w:ind w:right="2120"/>
        <w:rPr>
          <w:sz w:val="16"/>
          <w:szCs w:val="16"/>
        </w:rPr>
      </w:pPr>
      <w:r w:rsidRPr="00424EA3">
        <w:rPr>
          <w:color w:val="C6243C"/>
          <w:sz w:val="16"/>
          <w:szCs w:val="16"/>
        </w:rPr>
        <w:t xml:space="preserve">__ </w:t>
      </w:r>
      <w:r w:rsidRPr="00424EA3">
        <w:rPr>
          <w:sz w:val="16"/>
          <w:szCs w:val="16"/>
        </w:rPr>
        <w:t xml:space="preserve">Die GTÜ Gesellschaft für Technische Überwachung mbH ist die größte amtlich anerkannte Kfz-Überwachungsorganisation freiberuflicher Kraftfahrzeugsachverständiger in Deutschland und zählt damit zu den größten Sachverständigenorganisationen überhaupt. Sie versteht sich als ein umfassendes Expertennetzwerk. </w:t>
      </w:r>
      <w:r w:rsidR="00424EA3">
        <w:rPr>
          <w:sz w:val="16"/>
          <w:szCs w:val="16"/>
        </w:rPr>
        <w:t>5.0</w:t>
      </w:r>
      <w:r w:rsidRPr="00424EA3">
        <w:rPr>
          <w:sz w:val="16"/>
          <w:szCs w:val="16"/>
        </w:rPr>
        <w:t>00 selbständige und hauptberuflich tätige Sachverständige</w:t>
      </w:r>
      <w:r w:rsidR="00424EA3">
        <w:rPr>
          <w:sz w:val="16"/>
          <w:szCs w:val="16"/>
        </w:rPr>
        <w:t>, Prüfingenieurinnen und Prüfingenieure sowie</w:t>
      </w:r>
      <w:r w:rsidRPr="00424EA3">
        <w:rPr>
          <w:sz w:val="16"/>
          <w:szCs w:val="16"/>
        </w:rPr>
        <w:t xml:space="preserve"> deren qualifizierte Mitarbeite</w:t>
      </w:r>
      <w:r w:rsidR="00424EA3">
        <w:rPr>
          <w:sz w:val="16"/>
          <w:szCs w:val="16"/>
        </w:rPr>
        <w:t>nde</w:t>
      </w:r>
      <w:r w:rsidRPr="00424EA3">
        <w:rPr>
          <w:sz w:val="16"/>
          <w:szCs w:val="16"/>
        </w:rPr>
        <w:t xml:space="preserve"> stehen an über 1</w:t>
      </w:r>
      <w:r w:rsidR="00424EA3">
        <w:rPr>
          <w:sz w:val="16"/>
          <w:szCs w:val="16"/>
        </w:rPr>
        <w:t>0</w:t>
      </w:r>
      <w:r w:rsidRPr="00424EA3">
        <w:rPr>
          <w:sz w:val="16"/>
          <w:szCs w:val="16"/>
        </w:rPr>
        <w:t>.</w:t>
      </w:r>
      <w:r w:rsidR="00424EA3">
        <w:rPr>
          <w:sz w:val="16"/>
          <w:szCs w:val="16"/>
        </w:rPr>
        <w:t>4</w:t>
      </w:r>
      <w:r w:rsidRPr="00424EA3">
        <w:rPr>
          <w:sz w:val="16"/>
          <w:szCs w:val="16"/>
        </w:rPr>
        <w:t>00 Prüfstützpunkten in Werkstätten und Autohäusern sowie an eigenen Prüfstellen der GTÜ-Vertragspartner zur Verfügung. Die GTÜ-Prüfingenieur</w:t>
      </w:r>
      <w:r w:rsidR="00424EA3">
        <w:rPr>
          <w:sz w:val="16"/>
          <w:szCs w:val="16"/>
        </w:rPr>
        <w:t>innen</w:t>
      </w:r>
      <w:r w:rsidRPr="00424EA3">
        <w:rPr>
          <w:sz w:val="16"/>
          <w:szCs w:val="16"/>
        </w:rPr>
        <w:t xml:space="preserve"> </w:t>
      </w:r>
      <w:r w:rsidR="00424EA3">
        <w:rPr>
          <w:sz w:val="16"/>
          <w:szCs w:val="16"/>
        </w:rPr>
        <w:t>und -Prüfingenieure</w:t>
      </w:r>
      <w:r w:rsidR="00A5362E">
        <w:rPr>
          <w:sz w:val="16"/>
          <w:szCs w:val="16"/>
        </w:rPr>
        <w:t xml:space="preserve"> sind</w:t>
      </w:r>
      <w:r w:rsidRPr="00424EA3">
        <w:rPr>
          <w:sz w:val="16"/>
          <w:szCs w:val="16"/>
        </w:rPr>
        <w:t xml:space="preserve"> im Sinne der Verkehrssicherheit und des Umweltschutzes tätig.</w:t>
      </w:r>
    </w:p>
    <w:sectPr w:rsidR="00832E68" w:rsidRPr="00424EA3" w:rsidSect="00832E68">
      <w:headerReference w:type="default" r:id="rId12"/>
      <w:pgSz w:w="11901" w:h="16840"/>
      <w:pgMar w:top="2835" w:right="1134" w:bottom="1985" w:left="1134" w:header="2608" w:footer="192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AC40B2" w14:textId="77777777" w:rsidR="001E5C80" w:rsidRDefault="001E5C80" w:rsidP="00A72994">
      <w:r>
        <w:separator/>
      </w:r>
    </w:p>
  </w:endnote>
  <w:endnote w:type="continuationSeparator" w:id="0">
    <w:p w14:paraId="1B6559F8" w14:textId="77777777" w:rsidR="001E5C80" w:rsidRDefault="001E5C80" w:rsidP="00A72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0000500000000020000"/>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rk Pro">
    <w:panose1 w:val="020B0504020201010104"/>
    <w:charset w:val="4D"/>
    <w:family w:val="swiss"/>
    <w:notTrueType/>
    <w:pitch w:val="variable"/>
    <w:sig w:usb0="A00000FF" w:usb1="5000FCFB" w:usb2="00000000" w:usb3="00000000" w:csb0="00000093"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10F0CD" w14:textId="77777777" w:rsidR="001E5C80" w:rsidRDefault="001E5C80" w:rsidP="00A72994">
      <w:r>
        <w:separator/>
      </w:r>
    </w:p>
  </w:footnote>
  <w:footnote w:type="continuationSeparator" w:id="0">
    <w:p w14:paraId="029C62A9" w14:textId="77777777" w:rsidR="001E5C80" w:rsidRDefault="001E5C80" w:rsidP="00A729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545701" w14:textId="77777777" w:rsidR="00832E68" w:rsidRDefault="00820020" w:rsidP="0049082D">
    <w:pPr>
      <w:pStyle w:val="Kopfzeile"/>
      <w:ind w:right="360"/>
    </w:pPr>
    <w:r>
      <w:rPr>
        <w:noProof/>
      </w:rPr>
      <w:drawing>
        <wp:anchor distT="0" distB="0" distL="114300" distR="114300" simplePos="0" relativeHeight="251659264" behindDoc="1" locked="0" layoutInCell="1" allowOverlap="1" wp14:anchorId="09D53A94" wp14:editId="5434E381">
          <wp:simplePos x="0" y="0"/>
          <wp:positionH relativeFrom="page">
            <wp:posOffset>9053</wp:posOffset>
          </wp:positionH>
          <wp:positionV relativeFrom="paragraph">
            <wp:posOffset>-380848</wp:posOffset>
          </wp:positionV>
          <wp:extent cx="7544354" cy="10663532"/>
          <wp:effectExtent l="0" t="0" r="0" b="5080"/>
          <wp:wrapNone/>
          <wp:docPr id="3" name="Grafik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Grafik 2"/>
                  <pic:cNvPicPr>
                    <a:picLocks/>
                  </pic:cNvPicPr>
                </pic:nvPicPr>
                <pic:blipFill>
                  <a:blip r:embed="rId1">
                    <a:extLst>
                      <a:ext uri="{28A0092B-C50C-407E-A947-70E740481C1C}">
                        <a14:useLocalDpi xmlns:a14="http://schemas.microsoft.com/office/drawing/2010/main" val="0"/>
                      </a:ext>
                    </a:extLst>
                  </a:blip>
                  <a:stretch>
                    <a:fillRect/>
                  </a:stretch>
                </pic:blipFill>
                <pic:spPr bwMode="auto">
                  <a:xfrm>
                    <a:off x="0" y="0"/>
                    <a:ext cx="7544354" cy="10663532"/>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91DD0D" w14:textId="77777777" w:rsidR="006344C5" w:rsidRDefault="00820020">
    <w:r>
      <w:rPr>
        <w:noProof/>
      </w:rPr>
      <w:drawing>
        <wp:anchor distT="0" distB="0" distL="114300" distR="114300" simplePos="0" relativeHeight="251661312" behindDoc="1" locked="0" layoutInCell="1" allowOverlap="1" wp14:anchorId="0C08BE5B" wp14:editId="467B7184">
          <wp:simplePos x="0" y="0"/>
          <wp:positionH relativeFrom="page">
            <wp:posOffset>-9053</wp:posOffset>
          </wp:positionH>
          <wp:positionV relativeFrom="paragraph">
            <wp:posOffset>-1631634</wp:posOffset>
          </wp:positionV>
          <wp:extent cx="7544354" cy="10663532"/>
          <wp:effectExtent l="0" t="0" r="0" b="5080"/>
          <wp:wrapNone/>
          <wp:docPr id="1" name="Grafik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Grafik 2"/>
                  <pic:cNvPicPr>
                    <a:picLocks/>
                  </pic:cNvPicPr>
                </pic:nvPicPr>
                <pic:blipFill>
                  <a:blip r:embed="rId1">
                    <a:extLst>
                      <a:ext uri="{28A0092B-C50C-407E-A947-70E740481C1C}">
                        <a14:useLocalDpi xmlns:a14="http://schemas.microsoft.com/office/drawing/2010/main" val="0"/>
                      </a:ext>
                    </a:extLst>
                  </a:blip>
                  <a:stretch>
                    <a:fillRect/>
                  </a:stretch>
                </pic:blipFill>
                <pic:spPr bwMode="auto">
                  <a:xfrm>
                    <a:off x="0" y="0"/>
                    <a:ext cx="7544354" cy="10663532"/>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FB3166"/>
    <w:multiLevelType w:val="hybridMultilevel"/>
    <w:tmpl w:val="AC8E71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0DA11EE"/>
    <w:multiLevelType w:val="hybridMultilevel"/>
    <w:tmpl w:val="D8F82FBC"/>
    <w:lvl w:ilvl="0" w:tplc="95CAFB02">
      <w:start w:val="1"/>
      <w:numFmt w:val="bullet"/>
      <w:lvlText w:val="+"/>
      <w:lvlJc w:val="left"/>
      <w:pPr>
        <w:ind w:left="680" w:hanging="34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2534989"/>
    <w:multiLevelType w:val="hybridMultilevel"/>
    <w:tmpl w:val="8C66AA30"/>
    <w:lvl w:ilvl="0" w:tplc="17E40678">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31A3BFE"/>
    <w:multiLevelType w:val="hybridMultilevel"/>
    <w:tmpl w:val="58A8838A"/>
    <w:lvl w:ilvl="0" w:tplc="AFB65750">
      <w:start w:val="1"/>
      <w:numFmt w:val="bullet"/>
      <w:lvlText w:val="+"/>
      <w:lvlJc w:val="left"/>
      <w:pPr>
        <w:ind w:left="360" w:hanging="360"/>
      </w:pPr>
      <w:rPr>
        <w:rFonts w:ascii="Mark Pro" w:hAnsi="Mark Pro" w:hint="default"/>
        <w:b/>
        <w:i w:val="0"/>
        <w:color w:val="555555"/>
        <w:sz w:val="22"/>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3C7F1CAC"/>
    <w:multiLevelType w:val="hybridMultilevel"/>
    <w:tmpl w:val="4F46842C"/>
    <w:lvl w:ilvl="0" w:tplc="95CAFB02">
      <w:start w:val="1"/>
      <w:numFmt w:val="bullet"/>
      <w:lvlText w:val="+"/>
      <w:lvlJc w:val="left"/>
      <w:pPr>
        <w:ind w:left="700" w:hanging="36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06057D6"/>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49766887"/>
    <w:multiLevelType w:val="hybridMultilevel"/>
    <w:tmpl w:val="579C64D2"/>
    <w:lvl w:ilvl="0" w:tplc="0407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560D0010"/>
    <w:multiLevelType w:val="hybridMultilevel"/>
    <w:tmpl w:val="3384C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7B5B27C3"/>
    <w:multiLevelType w:val="hybridMultilevel"/>
    <w:tmpl w:val="15E0733C"/>
    <w:lvl w:ilvl="0" w:tplc="F6D28A16">
      <w:start w:val="1"/>
      <w:numFmt w:val="bullet"/>
      <w:pStyle w:val="Aufzhlung"/>
      <w:lvlText w:val=""/>
      <w:lvlJc w:val="left"/>
      <w:pPr>
        <w:ind w:left="360" w:hanging="360"/>
      </w:pPr>
      <w:rPr>
        <w:rFonts w:ascii="Symbol" w:hAnsi="Symbol"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7DF859FD"/>
    <w:multiLevelType w:val="hybridMultilevel"/>
    <w:tmpl w:val="299470C6"/>
    <w:lvl w:ilvl="0" w:tplc="AFB65750">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978339293">
    <w:abstractNumId w:val="7"/>
  </w:num>
  <w:num w:numId="2" w16cid:durableId="1335650250">
    <w:abstractNumId w:val="1"/>
  </w:num>
  <w:num w:numId="3" w16cid:durableId="546067574">
    <w:abstractNumId w:val="4"/>
  </w:num>
  <w:num w:numId="4" w16cid:durableId="841579181">
    <w:abstractNumId w:val="8"/>
  </w:num>
  <w:num w:numId="5" w16cid:durableId="1666711971">
    <w:abstractNumId w:val="9"/>
  </w:num>
  <w:num w:numId="6" w16cid:durableId="573005997">
    <w:abstractNumId w:val="2"/>
  </w:num>
  <w:num w:numId="7" w16cid:durableId="500780444">
    <w:abstractNumId w:val="3"/>
  </w:num>
  <w:num w:numId="8" w16cid:durableId="2072776597">
    <w:abstractNumId w:val="5"/>
  </w:num>
  <w:num w:numId="9" w16cid:durableId="1376348018">
    <w:abstractNumId w:val="0"/>
  </w:num>
  <w:num w:numId="10" w16cid:durableId="1537429752">
    <w:abstractNumId w:val="6"/>
  </w:num>
  <w:num w:numId="11" w16cid:durableId="14085107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isplayBackgroundShape/>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44F3"/>
    <w:rsid w:val="0000267C"/>
    <w:rsid w:val="000255E4"/>
    <w:rsid w:val="000644FC"/>
    <w:rsid w:val="000910B5"/>
    <w:rsid w:val="00094EFE"/>
    <w:rsid w:val="000B0C74"/>
    <w:rsid w:val="000F5D6E"/>
    <w:rsid w:val="00105658"/>
    <w:rsid w:val="001178A4"/>
    <w:rsid w:val="00136CBB"/>
    <w:rsid w:val="001711DA"/>
    <w:rsid w:val="001A35BF"/>
    <w:rsid w:val="001A4A6B"/>
    <w:rsid w:val="001E13FC"/>
    <w:rsid w:val="001E5C80"/>
    <w:rsid w:val="001F49A8"/>
    <w:rsid w:val="0021052D"/>
    <w:rsid w:val="00237371"/>
    <w:rsid w:val="002711EA"/>
    <w:rsid w:val="002B10C1"/>
    <w:rsid w:val="002C1755"/>
    <w:rsid w:val="002D5BC3"/>
    <w:rsid w:val="0030077D"/>
    <w:rsid w:val="00302047"/>
    <w:rsid w:val="00327BA5"/>
    <w:rsid w:val="00347060"/>
    <w:rsid w:val="003A1F80"/>
    <w:rsid w:val="003B29AD"/>
    <w:rsid w:val="003C7DD4"/>
    <w:rsid w:val="003D04B1"/>
    <w:rsid w:val="00407204"/>
    <w:rsid w:val="00414B78"/>
    <w:rsid w:val="00424EA3"/>
    <w:rsid w:val="00436749"/>
    <w:rsid w:val="00440043"/>
    <w:rsid w:val="00462982"/>
    <w:rsid w:val="00463ED5"/>
    <w:rsid w:val="0048333E"/>
    <w:rsid w:val="0049082D"/>
    <w:rsid w:val="0049281F"/>
    <w:rsid w:val="0049678B"/>
    <w:rsid w:val="00497179"/>
    <w:rsid w:val="004A171C"/>
    <w:rsid w:val="004D2734"/>
    <w:rsid w:val="004D414B"/>
    <w:rsid w:val="004F09C1"/>
    <w:rsid w:val="005344F3"/>
    <w:rsid w:val="0054260A"/>
    <w:rsid w:val="005947D7"/>
    <w:rsid w:val="00595204"/>
    <w:rsid w:val="005A449C"/>
    <w:rsid w:val="005B7678"/>
    <w:rsid w:val="00607ACF"/>
    <w:rsid w:val="006131AB"/>
    <w:rsid w:val="006344C5"/>
    <w:rsid w:val="00663CBB"/>
    <w:rsid w:val="00675EF5"/>
    <w:rsid w:val="00684B49"/>
    <w:rsid w:val="0069776A"/>
    <w:rsid w:val="006B37D7"/>
    <w:rsid w:val="006D2354"/>
    <w:rsid w:val="006E7169"/>
    <w:rsid w:val="0071177B"/>
    <w:rsid w:val="007308F8"/>
    <w:rsid w:val="007507BF"/>
    <w:rsid w:val="00771677"/>
    <w:rsid w:val="0078040C"/>
    <w:rsid w:val="007C5B73"/>
    <w:rsid w:val="007E47BE"/>
    <w:rsid w:val="008060A5"/>
    <w:rsid w:val="00820020"/>
    <w:rsid w:val="00831161"/>
    <w:rsid w:val="00832E68"/>
    <w:rsid w:val="008334B4"/>
    <w:rsid w:val="008649DE"/>
    <w:rsid w:val="008E133F"/>
    <w:rsid w:val="009028C3"/>
    <w:rsid w:val="0090396B"/>
    <w:rsid w:val="009506CF"/>
    <w:rsid w:val="00994E95"/>
    <w:rsid w:val="00996B88"/>
    <w:rsid w:val="009A1391"/>
    <w:rsid w:val="009B334F"/>
    <w:rsid w:val="009C4D60"/>
    <w:rsid w:val="009E3835"/>
    <w:rsid w:val="00A5362E"/>
    <w:rsid w:val="00A72994"/>
    <w:rsid w:val="00A77C20"/>
    <w:rsid w:val="00A84FFF"/>
    <w:rsid w:val="00A86800"/>
    <w:rsid w:val="00AF2BDB"/>
    <w:rsid w:val="00B066FC"/>
    <w:rsid w:val="00B305E3"/>
    <w:rsid w:val="00B40605"/>
    <w:rsid w:val="00B7224E"/>
    <w:rsid w:val="00B7482C"/>
    <w:rsid w:val="00B929E8"/>
    <w:rsid w:val="00C13AAD"/>
    <w:rsid w:val="00C2067A"/>
    <w:rsid w:val="00C94565"/>
    <w:rsid w:val="00CA0FAD"/>
    <w:rsid w:val="00CD0335"/>
    <w:rsid w:val="00CD667A"/>
    <w:rsid w:val="00CE2302"/>
    <w:rsid w:val="00D07582"/>
    <w:rsid w:val="00D2371D"/>
    <w:rsid w:val="00D72637"/>
    <w:rsid w:val="00D83E08"/>
    <w:rsid w:val="00DB4F09"/>
    <w:rsid w:val="00DC3B3E"/>
    <w:rsid w:val="00E03880"/>
    <w:rsid w:val="00E206C5"/>
    <w:rsid w:val="00E331C0"/>
    <w:rsid w:val="00E76CFA"/>
    <w:rsid w:val="00F30C27"/>
    <w:rsid w:val="00F5125F"/>
    <w:rsid w:val="00F73E2D"/>
    <w:rsid w:val="00FB1642"/>
    <w:rsid w:val="00FB6CCA"/>
    <w:rsid w:val="00FD713C"/>
    <w:rsid w:val="00FF395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5680AF"/>
  <w15:chartTrackingRefBased/>
  <w15:docId w15:val="{075BE680-6944-2B44-84DC-85A8219DB0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94EFE"/>
    <w:pPr>
      <w:spacing w:after="140" w:line="280" w:lineRule="exact"/>
    </w:pPr>
    <w:rPr>
      <w:rFonts w:ascii="Arial" w:hAnsi="Arial"/>
      <w:color w:val="000000"/>
      <w:sz w:val="22"/>
      <w:szCs w:val="24"/>
      <w:lang w:eastAsia="en-US"/>
    </w:rPr>
  </w:style>
  <w:style w:type="paragraph" w:styleId="berschrift1">
    <w:name w:val="heading 1"/>
    <w:basedOn w:val="Standard"/>
    <w:next w:val="Standard"/>
    <w:link w:val="berschrift1Zchn"/>
    <w:uiPriority w:val="9"/>
    <w:qFormat/>
    <w:rsid w:val="0090396B"/>
    <w:pPr>
      <w:keepNext/>
      <w:keepLines/>
      <w:spacing w:before="240" w:line="400" w:lineRule="exact"/>
      <w:outlineLvl w:val="0"/>
    </w:pPr>
    <w:rPr>
      <w:rFonts w:eastAsia="Times New Roman"/>
      <w:b/>
      <w:sz w:val="32"/>
      <w:szCs w:val="32"/>
    </w:rPr>
  </w:style>
  <w:style w:type="paragraph" w:styleId="berschrift2">
    <w:name w:val="heading 2"/>
    <w:basedOn w:val="Standard"/>
    <w:next w:val="Standard"/>
    <w:link w:val="berschrift2Zchn"/>
    <w:uiPriority w:val="9"/>
    <w:unhideWhenUsed/>
    <w:qFormat/>
    <w:rsid w:val="002D5BC3"/>
    <w:pPr>
      <w:keepNext/>
      <w:keepLines/>
      <w:spacing w:before="40"/>
      <w:outlineLvl w:val="1"/>
    </w:pPr>
    <w:rPr>
      <w:rFonts w:eastAsia="Times New Roman"/>
      <w:color w:val="C6243C"/>
      <w:sz w:val="28"/>
      <w:szCs w:val="26"/>
    </w:rPr>
  </w:style>
  <w:style w:type="paragraph" w:styleId="berschrift3">
    <w:name w:val="heading 3"/>
    <w:aliases w:val="Überschrift 3 – findet keine Anwendung"/>
    <w:basedOn w:val="Standard"/>
    <w:next w:val="Standard"/>
    <w:link w:val="berschrift3Zchn"/>
    <w:uiPriority w:val="9"/>
    <w:semiHidden/>
    <w:unhideWhenUsed/>
    <w:qFormat/>
    <w:rsid w:val="002D5BC3"/>
    <w:pPr>
      <w:keepNext/>
      <w:keepLines/>
      <w:spacing w:before="40" w:after="0"/>
      <w:outlineLvl w:val="2"/>
    </w:pPr>
    <w:rPr>
      <w:rFonts w:ascii="Calibri Light" w:eastAsia="Times New Roman" w:hAnsi="Calibri Light"/>
      <w:color w:val="1F3763"/>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aliases w:val="Überschrift 3 – findet keine Anwendung Zchn"/>
    <w:link w:val="berschrift3"/>
    <w:uiPriority w:val="9"/>
    <w:semiHidden/>
    <w:rsid w:val="002D5BC3"/>
    <w:rPr>
      <w:rFonts w:ascii="Calibri Light" w:eastAsia="Times New Roman" w:hAnsi="Calibri Light" w:cs="Times New Roman"/>
      <w:color w:val="1F3763"/>
      <w:sz w:val="24"/>
      <w:szCs w:val="24"/>
      <w:lang w:eastAsia="en-US"/>
    </w:rPr>
  </w:style>
  <w:style w:type="paragraph" w:customStyle="1" w:styleId="StandardHervorhebung">
    <w:name w:val="Standard Hervorhebung"/>
    <w:basedOn w:val="Standard"/>
    <w:qFormat/>
    <w:rsid w:val="00FB6CCA"/>
    <w:pPr>
      <w:ind w:right="2120"/>
    </w:pPr>
    <w:rPr>
      <w:b/>
    </w:rPr>
  </w:style>
  <w:style w:type="paragraph" w:styleId="Kopfzeile">
    <w:name w:val="header"/>
    <w:aliases w:val="Zitate"/>
    <w:basedOn w:val="Standard"/>
    <w:link w:val="KopfzeileZchn"/>
    <w:uiPriority w:val="99"/>
    <w:unhideWhenUsed/>
    <w:qFormat/>
    <w:rsid w:val="00FB6CCA"/>
    <w:pPr>
      <w:tabs>
        <w:tab w:val="center" w:pos="4536"/>
        <w:tab w:val="right" w:pos="9072"/>
      </w:tabs>
    </w:pPr>
    <w:rPr>
      <w:i/>
      <w:color w:val="4D4D4C"/>
    </w:rPr>
  </w:style>
  <w:style w:type="character" w:customStyle="1" w:styleId="KopfzeileZchn">
    <w:name w:val="Kopfzeile Zchn"/>
    <w:aliases w:val="Zitate Zchn"/>
    <w:link w:val="Kopfzeile"/>
    <w:uiPriority w:val="99"/>
    <w:rsid w:val="00FB6CCA"/>
    <w:rPr>
      <w:rFonts w:ascii="Arial" w:hAnsi="Arial"/>
      <w:i/>
      <w:color w:val="4D4D4C"/>
      <w:sz w:val="22"/>
      <w:szCs w:val="24"/>
      <w:lang w:eastAsia="en-US"/>
    </w:rPr>
  </w:style>
  <w:style w:type="paragraph" w:customStyle="1" w:styleId="Aufzhlung">
    <w:name w:val="Aufzählung"/>
    <w:qFormat/>
    <w:rsid w:val="00832E68"/>
    <w:pPr>
      <w:numPr>
        <w:numId w:val="4"/>
      </w:numPr>
    </w:pPr>
    <w:rPr>
      <w:rFonts w:ascii="Arial" w:eastAsia="MS Mincho" w:hAnsi="Arial"/>
      <w:b/>
      <w:color w:val="000000"/>
      <w:sz w:val="22"/>
      <w:szCs w:val="18"/>
    </w:rPr>
  </w:style>
  <w:style w:type="paragraph" w:styleId="Titel">
    <w:name w:val="Title"/>
    <w:aliases w:val="Maginalien"/>
    <w:basedOn w:val="Standard"/>
    <w:next w:val="Standard"/>
    <w:link w:val="TitelZchn"/>
    <w:uiPriority w:val="10"/>
    <w:qFormat/>
    <w:rsid w:val="002D5BC3"/>
    <w:pPr>
      <w:spacing w:line="200" w:lineRule="exact"/>
      <w:contextualSpacing/>
    </w:pPr>
    <w:rPr>
      <w:rFonts w:eastAsia="Times New Roman"/>
      <w:spacing w:val="-10"/>
      <w:kern w:val="28"/>
      <w:sz w:val="16"/>
      <w:szCs w:val="56"/>
    </w:rPr>
  </w:style>
  <w:style w:type="character" w:customStyle="1" w:styleId="TitelZchn">
    <w:name w:val="Titel Zchn"/>
    <w:aliases w:val="Maginalien Zchn"/>
    <w:link w:val="Titel"/>
    <w:uiPriority w:val="10"/>
    <w:rsid w:val="002D5BC3"/>
    <w:rPr>
      <w:rFonts w:ascii="Arial" w:eastAsia="Times New Roman" w:hAnsi="Arial" w:cs="Times New Roman"/>
      <w:color w:val="000000"/>
      <w:spacing w:val="-10"/>
      <w:kern w:val="28"/>
      <w:sz w:val="16"/>
      <w:szCs w:val="56"/>
      <w:lang w:eastAsia="en-US"/>
    </w:rPr>
  </w:style>
  <w:style w:type="character" w:customStyle="1" w:styleId="berschrift1Zchn">
    <w:name w:val="Überschrift 1 Zchn"/>
    <w:link w:val="berschrift1"/>
    <w:uiPriority w:val="9"/>
    <w:rsid w:val="0090396B"/>
    <w:rPr>
      <w:rFonts w:ascii="Arial" w:eastAsia="Times New Roman" w:hAnsi="Arial" w:cs="Times New Roman"/>
      <w:b/>
      <w:color w:val="000000"/>
      <w:sz w:val="32"/>
      <w:szCs w:val="32"/>
      <w:lang w:eastAsia="en-US"/>
    </w:rPr>
  </w:style>
  <w:style w:type="character" w:customStyle="1" w:styleId="berschrift2Zchn">
    <w:name w:val="Überschrift 2 Zchn"/>
    <w:link w:val="berschrift2"/>
    <w:uiPriority w:val="9"/>
    <w:rsid w:val="002D5BC3"/>
    <w:rPr>
      <w:rFonts w:ascii="Arial" w:eastAsia="Times New Roman" w:hAnsi="Arial" w:cs="Times New Roman"/>
      <w:color w:val="C6243C"/>
      <w:sz w:val="28"/>
      <w:szCs w:val="26"/>
      <w:lang w:eastAsia="en-US"/>
    </w:rPr>
  </w:style>
  <w:style w:type="paragraph" w:styleId="Sprechblasentext">
    <w:name w:val="Balloon Text"/>
    <w:basedOn w:val="Standard"/>
    <w:link w:val="SprechblasentextZchn"/>
    <w:uiPriority w:val="99"/>
    <w:semiHidden/>
    <w:unhideWhenUsed/>
    <w:rsid w:val="00AF2BDB"/>
    <w:pPr>
      <w:spacing w:line="240" w:lineRule="auto"/>
    </w:pPr>
    <w:rPr>
      <w:rFonts w:ascii="Times New Roman" w:hAnsi="Times New Roman"/>
      <w:sz w:val="18"/>
      <w:szCs w:val="18"/>
    </w:rPr>
  </w:style>
  <w:style w:type="character" w:customStyle="1" w:styleId="SprechblasentextZchn">
    <w:name w:val="Sprechblasentext Zchn"/>
    <w:link w:val="Sprechblasentext"/>
    <w:uiPriority w:val="99"/>
    <w:semiHidden/>
    <w:rsid w:val="00AF2BDB"/>
    <w:rPr>
      <w:rFonts w:ascii="Times New Roman" w:hAnsi="Times New Roman"/>
      <w:color w:val="555555"/>
      <w:sz w:val="18"/>
      <w:szCs w:val="18"/>
      <w:lang w:eastAsia="en-US"/>
    </w:rPr>
  </w:style>
  <w:style w:type="character" w:styleId="Kommentarzeichen">
    <w:name w:val="annotation reference"/>
    <w:uiPriority w:val="99"/>
    <w:semiHidden/>
    <w:unhideWhenUsed/>
    <w:rsid w:val="004F09C1"/>
    <w:rPr>
      <w:sz w:val="16"/>
      <w:szCs w:val="16"/>
    </w:rPr>
  </w:style>
  <w:style w:type="paragraph" w:styleId="Kommentartext">
    <w:name w:val="annotation text"/>
    <w:basedOn w:val="Standard"/>
    <w:link w:val="KommentartextZchn"/>
    <w:uiPriority w:val="99"/>
    <w:unhideWhenUsed/>
    <w:rsid w:val="004F09C1"/>
    <w:pPr>
      <w:spacing w:line="240" w:lineRule="auto"/>
    </w:pPr>
    <w:rPr>
      <w:sz w:val="20"/>
      <w:szCs w:val="20"/>
    </w:rPr>
  </w:style>
  <w:style w:type="character" w:customStyle="1" w:styleId="KommentartextZchn">
    <w:name w:val="Kommentartext Zchn"/>
    <w:link w:val="Kommentartext"/>
    <w:uiPriority w:val="99"/>
    <w:rsid w:val="004F09C1"/>
    <w:rPr>
      <w:rFonts w:ascii="Arial" w:hAnsi="Arial"/>
      <w:color w:val="555555"/>
      <w:lang w:eastAsia="en-US"/>
    </w:rPr>
  </w:style>
  <w:style w:type="paragraph" w:styleId="Kommentarthema">
    <w:name w:val="annotation subject"/>
    <w:basedOn w:val="Kommentartext"/>
    <w:next w:val="Kommentartext"/>
    <w:link w:val="KommentarthemaZchn"/>
    <w:uiPriority w:val="99"/>
    <w:semiHidden/>
    <w:unhideWhenUsed/>
    <w:rsid w:val="004F09C1"/>
    <w:rPr>
      <w:b/>
      <w:bCs/>
    </w:rPr>
  </w:style>
  <w:style w:type="character" w:customStyle="1" w:styleId="KommentarthemaZchn">
    <w:name w:val="Kommentarthema Zchn"/>
    <w:link w:val="Kommentarthema"/>
    <w:uiPriority w:val="99"/>
    <w:semiHidden/>
    <w:rsid w:val="004F09C1"/>
    <w:rPr>
      <w:rFonts w:ascii="Arial" w:hAnsi="Arial"/>
      <w:b/>
      <w:bCs/>
      <w:color w:val="555555"/>
      <w:lang w:eastAsia="en-US"/>
    </w:rPr>
  </w:style>
  <w:style w:type="paragraph" w:styleId="berarbeitung">
    <w:name w:val="Revision"/>
    <w:hidden/>
    <w:uiPriority w:val="99"/>
    <w:semiHidden/>
    <w:rsid w:val="00C2067A"/>
    <w:rPr>
      <w:rFonts w:ascii="Arial" w:hAnsi="Arial"/>
      <w:color w:val="555555"/>
      <w:sz w:val="22"/>
      <w:szCs w:val="24"/>
      <w:lang w:eastAsia="en-US"/>
    </w:rPr>
  </w:style>
  <w:style w:type="paragraph" w:customStyle="1" w:styleId="StandardHervorhebungrot">
    <w:name w:val="Standard Hervorhebung rot"/>
    <w:basedOn w:val="berschrift2"/>
    <w:qFormat/>
    <w:rsid w:val="002B10C1"/>
    <w:pPr>
      <w:spacing w:line="220" w:lineRule="exact"/>
      <w:ind w:right="1831"/>
    </w:pPr>
    <w:rPr>
      <w:rFonts w:eastAsia="Calibri"/>
      <w:b/>
      <w:sz w:val="22"/>
    </w:rPr>
  </w:style>
  <w:style w:type="paragraph" w:styleId="Fuzeile">
    <w:name w:val="footer"/>
    <w:basedOn w:val="Standard"/>
    <w:link w:val="FuzeileZchn"/>
    <w:uiPriority w:val="99"/>
    <w:unhideWhenUsed/>
    <w:rsid w:val="00820020"/>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820020"/>
    <w:rPr>
      <w:rFonts w:ascii="Arial" w:hAnsi="Arial"/>
      <w:color w:val="000000"/>
      <w:sz w:val="22"/>
      <w:szCs w:val="24"/>
      <w:lang w:eastAsia="en-US"/>
    </w:rPr>
  </w:style>
  <w:style w:type="character" w:styleId="Hyperlink">
    <w:name w:val="Hyperlink"/>
    <w:basedOn w:val="Absatz-Standardschriftart"/>
    <w:uiPriority w:val="99"/>
    <w:unhideWhenUsed/>
    <w:rsid w:val="00E76CFA"/>
    <w:rPr>
      <w:color w:val="0563C1" w:themeColor="hyperlink"/>
      <w:u w:val="single"/>
    </w:rPr>
  </w:style>
  <w:style w:type="paragraph" w:styleId="Listenabsatz">
    <w:name w:val="List Paragraph"/>
    <w:basedOn w:val="Standard"/>
    <w:uiPriority w:val="34"/>
    <w:qFormat/>
    <w:rsid w:val="00E76CFA"/>
    <w:pPr>
      <w:ind w:left="720"/>
      <w:contextualSpacing/>
    </w:pPr>
  </w:style>
  <w:style w:type="character" w:styleId="BesuchterLink">
    <w:name w:val="FollowedHyperlink"/>
    <w:basedOn w:val="Absatz-Standardschriftart"/>
    <w:uiPriority w:val="99"/>
    <w:semiHidden/>
    <w:unhideWhenUsed/>
    <w:rsid w:val="00E76CFA"/>
    <w:rPr>
      <w:color w:val="954F72" w:themeColor="followedHyperlink"/>
      <w:u w:val="single"/>
    </w:rPr>
  </w:style>
  <w:style w:type="character" w:styleId="NichtaufgelsteErwhnung">
    <w:name w:val="Unresolved Mention"/>
    <w:basedOn w:val="Absatz-Standardschriftart"/>
    <w:uiPriority w:val="99"/>
    <w:semiHidden/>
    <w:unhideWhenUsed/>
    <w:rsid w:val="00E76CF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mobilio.de" TargetMode="External"/><Relationship Id="rId5" Type="http://schemas.openxmlformats.org/officeDocument/2006/relationships/webSettings" Target="webSettings.xml"/><Relationship Id="rId10" Type="http://schemas.openxmlformats.org/officeDocument/2006/relationships/hyperlink" Target="https://gtue.co2.auto" TargetMode="External"/><Relationship Id="rId4" Type="http://schemas.openxmlformats.org/officeDocument/2006/relationships/settings" Target="settings.xml"/><Relationship Id="rId9" Type="http://schemas.openxmlformats.org/officeDocument/2006/relationships/hyperlink" Target="https://www.gtue.de/de/privatkunden/e-mobilitat/e-mobilitaetsberater"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99362C-DDDF-4EDE-9D75-6998F12AF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718</Words>
  <Characters>4530</Characters>
  <Application>Microsoft Office Word</Application>
  <DocSecurity>0</DocSecurity>
  <Lines>37</Lines>
  <Paragraphs>10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Rüdiger Abele</dc:creator>
  <cp:keywords/>
  <dc:description/>
  <cp:lastModifiedBy>Mario Pistorius</cp:lastModifiedBy>
  <cp:revision>7</cp:revision>
  <cp:lastPrinted>2020-06-10T13:28:00Z</cp:lastPrinted>
  <dcterms:created xsi:type="dcterms:W3CDTF">2022-10-19T08:07:00Z</dcterms:created>
  <dcterms:modified xsi:type="dcterms:W3CDTF">2022-10-20T05:23:00Z</dcterms:modified>
</cp:coreProperties>
</file>